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E5CD2">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lang w:val="en-US"/>
        </w:rPr>
      </w:pPr>
      <w:r>
        <w:rPr>
          <w:rFonts w:hint="eastAsia"/>
          <w:b/>
          <w:bCs/>
          <w:sz w:val="44"/>
          <w:szCs w:val="44"/>
          <w:lang w:val="en-US" w:eastAsia="zh-CN"/>
        </w:rPr>
        <w:t>2025年杭州市临平区普通国道路基路面养护工程沥青混合料供料中</w:t>
      </w:r>
    </w:p>
    <w:p w14:paraId="3F63EA10">
      <w:pPr>
        <w:bidi w:val="0"/>
        <w:rPr>
          <w:rFonts w:hint="eastAsia"/>
        </w:rPr>
      </w:pPr>
    </w:p>
    <w:p w14:paraId="18B422A1">
      <w:pPr>
        <w:bidi w:val="0"/>
        <w:rPr>
          <w:rFonts w:hint="eastAsia"/>
        </w:rPr>
      </w:pPr>
    </w:p>
    <w:p w14:paraId="300F0D2A">
      <w:pPr>
        <w:pStyle w:val="2"/>
        <w:rPr>
          <w:rFonts w:hint="eastAsia"/>
        </w:rPr>
      </w:pPr>
    </w:p>
    <w:p w14:paraId="714FA91D">
      <w:pPr>
        <w:pStyle w:val="2"/>
        <w:rPr>
          <w:rFonts w:hint="eastAsia"/>
        </w:rPr>
      </w:pPr>
    </w:p>
    <w:p w14:paraId="41B53A71">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20249"/>
      <w:bookmarkStart w:id="1" w:name="_Toc14209"/>
      <w:bookmarkStart w:id="2" w:name="_Toc5776"/>
      <w:r>
        <w:rPr>
          <w:rFonts w:hint="eastAsia"/>
          <w:b/>
          <w:bCs/>
          <w:sz w:val="44"/>
          <w:szCs w:val="44"/>
          <w:lang w:val="en-US" w:eastAsia="zh-CN"/>
        </w:rPr>
        <w:t>混合料加工公开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9427"/>
      <w:bookmarkStart w:id="4" w:name="_Toc31777"/>
      <w:bookmarkStart w:id="5" w:name="_Toc5498"/>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18449"/>
      <w:bookmarkStart w:id="7" w:name="_Toc25711"/>
      <w:bookmarkStart w:id="8" w:name="_Toc20748"/>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六</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5"/>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3</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2025年杭州市临平区普通国道路基路面养护工程</w:t>
      </w:r>
      <w:r>
        <w:rPr>
          <w:rFonts w:hint="eastAsia" w:cs="Times New Roman"/>
          <w:u w:val="single"/>
          <w:lang w:val="en-US" w:eastAsia="zh-CN"/>
        </w:rPr>
        <w:t>沥青混合料供料中混合料加工</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4FDED499">
      <w:pPr>
        <w:pStyle w:val="6"/>
        <w:pageBreakBefore w:val="0"/>
        <w:kinsoku/>
        <w:overflowPunct/>
        <w:topLinePunct w:val="0"/>
        <w:autoSpaceDE/>
        <w:autoSpaceDN/>
        <w:bidi w:val="0"/>
        <w:adjustRightInd/>
        <w:snapToGrid/>
        <w:spacing w:line="400" w:lineRule="exact"/>
        <w:textAlignment w:val="auto"/>
        <w:rPr>
          <w:rFonts w:hint="default" w:ascii="宋体" w:hAnsi="宋体" w:cs="宋体" w:eastAsiaTheme="minorEastAsia"/>
          <w:b w:val="0"/>
          <w:bCs/>
          <w:lang w:val="en-US" w:eastAsia="zh-CN"/>
        </w:rPr>
      </w:pPr>
      <w:r>
        <w:rPr>
          <w:rFonts w:hint="eastAsia" w:ascii="宋体" w:hAnsi="宋体" w:eastAsia="宋体" w:cs="宋体"/>
          <w:b w:val="0"/>
          <w:bCs/>
          <w:lang w:val="en-US" w:eastAsia="zh-CN"/>
        </w:rPr>
        <w:t>本次公开选择的内容为</w:t>
      </w:r>
      <w:r>
        <w:rPr>
          <w:rFonts w:hint="eastAsia" w:asciiTheme="minorEastAsia" w:hAnsiTheme="minorEastAsia" w:eastAsiaTheme="minorEastAsia"/>
          <w:bCs/>
          <w:sz w:val="21"/>
          <w:szCs w:val="21"/>
          <w:u w:val="single"/>
        </w:rPr>
        <w:t>2025年杭州市临平区普通国道路基路面养护工程</w:t>
      </w:r>
      <w:r>
        <w:rPr>
          <w:rFonts w:hint="eastAsia" w:asciiTheme="minorEastAsia" w:hAnsiTheme="minorEastAsia" w:eastAsiaTheme="minorEastAsia"/>
          <w:bCs/>
          <w:sz w:val="21"/>
          <w:szCs w:val="21"/>
          <w:u w:val="single"/>
          <w:lang w:val="en-US" w:eastAsia="zh-CN"/>
        </w:rPr>
        <w:t>沥青混合料供料中混合料加工。</w:t>
      </w:r>
      <w:r>
        <w:rPr>
          <w:rFonts w:hint="eastAsia" w:asciiTheme="minorEastAsia" w:hAnsiTheme="minorEastAsia" w:eastAsiaTheme="minorEastAsia"/>
          <w:b w:val="0"/>
          <w:bCs w:val="0"/>
          <w:sz w:val="21"/>
          <w:szCs w:val="21"/>
          <w:u w:val="none"/>
          <w:lang w:val="en-US" w:eastAsia="zh-CN"/>
        </w:rPr>
        <w:t>各响应人需根据选择人提供的清单进行报价，响应人需具备的条件详见1.2选择范围中的要求。</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color w:val="auto"/>
          <w:spacing w:val="-1"/>
          <w:sz w:val="21"/>
          <w:szCs w:val="21"/>
          <w:u w:val="none"/>
          <w:lang w:val="en-US" w:eastAsia="zh-CN"/>
        </w:rPr>
        <w:t>请各响应人进行综合报价，按我公司提供</w:t>
      </w:r>
      <w:r>
        <w:rPr>
          <w:rFonts w:hint="eastAsia" w:asciiTheme="minorEastAsia" w:hAnsiTheme="minorEastAsia" w:eastAsiaTheme="minorEastAsia" w:cstheme="minorEastAsia"/>
          <w:color w:val="auto"/>
          <w:spacing w:val="-1"/>
          <w:sz w:val="21"/>
          <w:szCs w:val="21"/>
          <w:u w:val="single"/>
          <w:lang w:val="en-US" w:eastAsia="zh-CN"/>
        </w:rPr>
        <w:t>工程量清单</w:t>
      </w:r>
      <w:r>
        <w:rPr>
          <w:rFonts w:hint="eastAsia" w:asciiTheme="minorEastAsia" w:hAnsiTheme="minorEastAsia" w:eastAsiaTheme="minorEastAsia" w:cstheme="minorEastAsia"/>
          <w:color w:val="auto"/>
          <w:spacing w:val="-1"/>
          <w:sz w:val="21"/>
          <w:szCs w:val="21"/>
          <w:u w:val="none"/>
          <w:lang w:val="en-US" w:eastAsia="zh-CN"/>
        </w:rPr>
        <w:t>填报单价，并汇总报价。混合料加工的价格</w:t>
      </w:r>
      <w:r>
        <w:rPr>
          <w:rFonts w:hint="eastAsia" w:asciiTheme="minorEastAsia" w:hAnsiTheme="minorEastAsia" w:eastAsiaTheme="minorEastAsia" w:cstheme="minorEastAsia"/>
          <w:spacing w:val="-1"/>
          <w:sz w:val="21"/>
          <w:szCs w:val="21"/>
          <w:u w:val="none"/>
          <w:lang w:val="en-US" w:eastAsia="zh-CN"/>
        </w:rPr>
        <w:t>应包括人工成本、2%的矿粉材料费用、天然气费、设备相关费用、仓储保管、保险、利润、税金、政策性文件规定及合同包含的所有风险、责任等各项应有费用</w:t>
      </w:r>
      <w:r>
        <w:rPr>
          <w:rFonts w:hint="eastAsia" w:asciiTheme="minorEastAsia" w:hAnsiTheme="minorEastAsia" w:eastAsiaTheme="minorEastAsia" w:cstheme="minorEastAsia"/>
          <w:b w:val="0"/>
          <w:bCs w:val="0"/>
          <w:spacing w:val="-1"/>
          <w:kern w:val="2"/>
          <w:sz w:val="21"/>
          <w:szCs w:val="21"/>
          <w:lang w:val="en-US" w:eastAsia="zh-CN" w:bidi="ar-SA"/>
        </w:rPr>
        <w:t>。</w:t>
      </w:r>
      <w:r>
        <w:rPr>
          <w:rFonts w:hint="eastAsia" w:asciiTheme="minorEastAsia" w:hAnsiTheme="minorEastAsia" w:eastAsiaTheme="minorEastAsia" w:cstheme="minorEastAsia"/>
          <w:spacing w:val="-1"/>
          <w:sz w:val="21"/>
          <w:szCs w:val="21"/>
          <w:u w:val="none"/>
          <w:lang w:val="en-US" w:eastAsia="zh-CN"/>
        </w:rPr>
        <w:t>响应单位所报价格（加工费用），应包含2%的矿粉材料费，其矿粉质量应符合相关规范规定的要求，超出2%部分由选择人承担，由选择人直接向响应人采购，响应人须在报价单中填写超出部分矿粉含税单价（元/吨）。选择人负责提供生产沥青混合料所需的各种材料并承担费用（矿粉除外）。</w:t>
      </w:r>
    </w:p>
    <w:p w14:paraId="2FAD3D7F">
      <w:pPr>
        <w:pStyle w:val="31"/>
        <w:rPr>
          <w:rFonts w:hint="eastAsia"/>
          <w:sz w:val="21"/>
          <w:szCs w:val="21"/>
          <w:lang w:val="en-US" w:eastAsia="zh-CN"/>
        </w:rPr>
      </w:pPr>
      <w:r>
        <w:rPr>
          <w:rFonts w:hint="eastAsia"/>
          <w:sz w:val="21"/>
          <w:szCs w:val="21"/>
          <w:lang w:val="en-US" w:eastAsia="zh-CN"/>
        </w:rPr>
        <w:t>（3）沥青拌合楼要求：</w:t>
      </w:r>
    </w:p>
    <w:p w14:paraId="46C7F051">
      <w:pPr>
        <w:pStyle w:val="31"/>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a）人员配备：响应人的沥青拌合楼应配备不少于6名管理、操作人员（操作熟练、技术优良的员工），保证24小时随时生产，以满足选择人任何时间段的施工需求，服从选择人的工作调度，响应人的相关人员费用由其自行承担，响应人保证安全操作，严格遵守操作规程和响应规范，以保证向选择人提供良好的拌料环境；选择人会安排至少2名辅助人员，从事拌料过程中的生产监督管理工作，保障在施工过程中的供料能力，辅助人员工资由甲方负责。</w:t>
      </w:r>
    </w:p>
    <w:p w14:paraId="74D5C0E3">
      <w:pPr>
        <w:pStyle w:val="31"/>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（b）地磅计量系统：拌合楼应配备地磅用以称重，拌合数量以实际过磅的数量为准，地磅计量系统要经过当地法定计量部门的标定或检验。</w:t>
      </w:r>
    </w:p>
    <w:p w14:paraId="6363D949">
      <w:pPr>
        <w:pStyle w:val="31"/>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（c）材料存储设备：响应人应配备相应沥青储备罐、重油罐、柴油罐、矿粉罐、改性沥青罐及其相应的附属设备，以保证沥青的正常供给、拌合楼的正常生产。</w:t>
      </w:r>
    </w:p>
    <w:p w14:paraId="50ED4B95">
      <w:pPr>
        <w:pStyle w:val="31"/>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（d）拌合楼配件：响应人应配备拌合楼所需的油料(润滑油、导热油及其辅助用油)，以及正常磨损、损坏而引起的维修、保养、需更换的常用配件，必须保证设备正常运转。</w:t>
      </w:r>
    </w:p>
    <w:p w14:paraId="747FAA2B">
      <w:pPr>
        <w:pStyle w:val="31"/>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（e）筛网：响应人应配备常用规格的筛网，以满足选择人的更换要求，相关费用由响应人承担。</w:t>
      </w:r>
    </w:p>
    <w:p w14:paraId="30A10CD0">
      <w:pPr>
        <w:pStyle w:val="31"/>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（f）生产能力：不小于320吨/小时。</w:t>
      </w:r>
    </w:p>
    <w:p w14:paraId="2A9192A4">
      <w:pPr>
        <w:pStyle w:val="31"/>
        <w:rPr>
          <w:rFonts w:hint="default"/>
          <w:lang w:val="en-US" w:eastAsia="zh-CN"/>
        </w:rPr>
      </w:pPr>
      <w:r>
        <w:rPr>
          <w:rFonts w:hint="eastAsia" w:asciiTheme="minorEastAsia" w:hAnsiTheme="minorEastAsia" w:eastAsiaTheme="minorEastAsia" w:cstheme="minorEastAsia"/>
          <w:spacing w:val="-1"/>
          <w:sz w:val="21"/>
          <w:szCs w:val="21"/>
          <w:u w:val="none"/>
          <w:lang w:val="en-US" w:eastAsia="zh-CN"/>
        </w:rPr>
        <w:t>（g）试验器材：配备重型击实仪、沥青抽提仪、粗细集料筛、恒温烘干箱。</w:t>
      </w: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暂定3个月，具体以选择人通知为准。 </w:t>
      </w:r>
    </w:p>
    <w:p w14:paraId="44BB9283">
      <w:pPr>
        <w:pStyle w:val="5"/>
        <w:numPr>
          <w:ilvl w:val="0"/>
          <w:numId w:val="2"/>
        </w:numPr>
        <w:bidi w:val="0"/>
        <w:rPr>
          <w:rFonts w:hint="eastAsia"/>
          <w:lang w:val="en-US" w:eastAsia="zh-CN"/>
        </w:rPr>
      </w:pPr>
      <w:bookmarkStart w:id="13" w:name="_Toc9402"/>
      <w:r>
        <w:rPr>
          <w:rFonts w:hint="eastAsia"/>
          <w:lang w:val="en-US" w:eastAsia="zh-CN"/>
        </w:rPr>
        <w:t>送货地点</w:t>
      </w:r>
      <w:bookmarkEnd w:id="13"/>
    </w:p>
    <w:p w14:paraId="2F0EA023">
      <w:pPr>
        <w:bidi w:val="0"/>
        <w:rPr>
          <w:rFonts w:hint="eastAsia"/>
          <w:lang w:val="en-US" w:eastAsia="zh-CN"/>
        </w:rPr>
      </w:pPr>
      <w:r>
        <w:rPr>
          <w:rFonts w:hint="eastAsia"/>
          <w:lang w:val="en-US" w:eastAsia="zh-CN"/>
        </w:rPr>
        <w:t>选择人自行组织车队运输。</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响应单位营业执照必须真实有效且在有效期内，具有相应的经营范围（沥青搅拌混凝土生产及销售）。</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19590"/>
      <w:bookmarkStart w:id="16" w:name="_Toc20735"/>
      <w:bookmarkStart w:id="17" w:name="_Toc13757"/>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7</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 xml:space="preserve"> 9：30；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2025年6月30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6"/>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2025年杭州市临平区普通国道路基路面养护工程沥青混合料供料中混合料加工</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6"/>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6"/>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6"/>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6"/>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6"/>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6"/>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523605F4">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6"/>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2025年杭州市临平区普通国道路基路面养护工程沥青混合料供料中混合料加工</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7</w:t>
            </w:r>
            <w:r>
              <w:rPr>
                <w:rFonts w:hint="default"/>
                <w:color w:val="auto"/>
                <w:highlight w:val="none"/>
              </w:rPr>
              <w:t>月</w:t>
            </w:r>
            <w:r>
              <w:rPr>
                <w:rFonts w:hint="eastAsia"/>
                <w:color w:val="auto"/>
                <w:highlight w:val="none"/>
                <w:lang w:val="en-US" w:eastAsia="zh-CN"/>
              </w:rPr>
              <w:t>3</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9</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30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6"/>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28336"/>
      <w:bookmarkStart w:id="23" w:name="_Toc6107"/>
      <w:r>
        <w:rPr>
          <w:rFonts w:hint="eastAsia"/>
          <w:lang w:val="en-US" w:eastAsia="zh-CN"/>
        </w:rPr>
        <w:t>工程量清单</w:t>
      </w:r>
      <w:bookmarkEnd w:id="22"/>
      <w:bookmarkEnd w:id="23"/>
    </w:p>
    <w:p w14:paraId="118D4856">
      <w:pPr>
        <w:pStyle w:val="7"/>
        <w:ind w:left="1050" w:leftChars="0" w:hanging="1050" w:hangingChars="500"/>
        <w:rPr>
          <w:rFonts w:hint="eastAsia"/>
          <w:sz w:val="21"/>
          <w:szCs w:val="21"/>
          <w:lang w:val="en-US" w:eastAsia="zh-CN"/>
        </w:rPr>
      </w:pPr>
      <w:r>
        <w:rPr>
          <w:sz w:val="21"/>
          <w:szCs w:val="21"/>
        </w:rPr>
        <w:t>项目名称：</w:t>
      </w:r>
      <w:r>
        <w:rPr>
          <w:rFonts w:hint="eastAsia"/>
          <w:lang w:val="en-US" w:eastAsia="zh-CN"/>
        </w:rPr>
        <w:t>2025年杭州市临平区普通国道路基路面养护工程沥青混合料供料中混合料加工</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SMA-13（SBS改性沥青）</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56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15873.65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3088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503D8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05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AC-16C（SBS改性沥青）</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3C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571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1102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8650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E97059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3BD267C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4CC0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1EA803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05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AC-16C（SBS改性沥青，含0.4%车辙剂）</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C31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33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11239.8</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2AFE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F8C062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394DD5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2679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5281CC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432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AC-25C</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299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73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2227.6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DC97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6F66B8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57D431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1231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F02888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B9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ATB-30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D0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71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229.2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718E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D42FD3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35C242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6F99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B5906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937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SFP-20（SBS改性沥青）</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8D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72E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951.2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D062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E77FA5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64745B5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43B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948D7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4A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矿粉</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58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7C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734.9</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BCBA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60FA0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42759C6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DD90E6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5A2F902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11967"/>
      <w:bookmarkStart w:id="25" w:name="_Toc30179"/>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55575F50">
      <w:pPr>
        <w:pStyle w:val="2"/>
        <w:ind w:left="0" w:leftChars="0" w:firstLine="420" w:firstLineChars="200"/>
        <w:rPr>
          <w:rFonts w:hint="default"/>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5B849C7E">
      <w:pPr>
        <w:pStyle w:val="2"/>
        <w:ind w:left="0" w:leftChars="0" w:firstLine="0" w:firstLineChars="0"/>
        <w:jc w:val="center"/>
        <w:rPr>
          <w:rFonts w:hint="eastAsia" w:ascii="宋体" w:hAnsi="宋体" w:eastAsia="宋体" w:cs="宋体"/>
          <w:b/>
          <w:bCs/>
          <w:sz w:val="44"/>
          <w:szCs w:val="44"/>
          <w:lang w:val="en-US" w:eastAsia="zh-CN"/>
        </w:rPr>
      </w:pPr>
    </w:p>
    <w:p w14:paraId="00769D0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ascii="宋体" w:hAnsi="宋体" w:eastAsia="宋体" w:cs="宋体"/>
          <w:b/>
          <w:bCs/>
          <w:sz w:val="44"/>
          <w:szCs w:val="44"/>
          <w:lang w:val="en-US" w:eastAsia="zh-CN"/>
        </w:rPr>
        <w:t>2025年杭州市临平区普通国道路基路面养护工程沥青混合料供料中</w:t>
      </w: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混合料加工响应文件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2025年杭州市临平区普通国道路基路面养护工程沥青混合料供料中混合料加工</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478761773"/>
      <w:bookmarkStart w:id="32" w:name="_Toc31445"/>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eastAsia" w:ascii="宋体" w:hAnsi="宋体" w:eastAsia="宋体" w:cs="Times New Roman"/>
          <w:lang w:val="en-US" w:eastAsia="zh-CN"/>
        </w:rPr>
      </w:pPr>
      <w:r>
        <w:rPr>
          <w:rFonts w:hint="eastAsia" w:ascii="宋体" w:hAnsi="宋体" w:eastAsia="宋体" w:cs="宋体"/>
          <w:lang w:val="en-US" w:eastAsia="zh-CN"/>
        </w:rPr>
        <w:t>项目名称：</w:t>
      </w:r>
      <w:r>
        <w:rPr>
          <w:rFonts w:hint="eastAsia"/>
          <w:lang w:val="en-US" w:eastAsia="zh-CN"/>
        </w:rPr>
        <w:t>2025年杭州市临平区普通国道路基路面养护工程沥青混合料供料中混合料加工</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6E5A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47158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0A2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32EA4A7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6C4F965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1D0017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FEEA8D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4C2B83E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99D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01044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86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SMA-13（SBS改性沥青）</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AA7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F8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15873.65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5A5E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BFA628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BC3045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06D8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5571D5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42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AC-16C（SBS改性沥青）</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9C6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9C3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1102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C9D8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B194CC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204BA5D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2E6E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D15DF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01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AC-16C（SBS改性沥青，含0.4%车辙剂）</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09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63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11239.8</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A948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2185FC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2D99213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47D8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85A1ED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A20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AC-25C</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1E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1C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2227.6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EFE6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8131E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51B789F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4F30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BBD6B0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26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ATB-30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1B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C7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229.2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A797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D0FFC0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0F5CF5D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01D0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6DF162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2A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SFP-20（SBS改性沥青）</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1C4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07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951.2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9338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1391DC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30B4AD9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5E1A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1B7202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115A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矿粉</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A87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FB3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734.9</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363A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60E87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3420AB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5140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601C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C6CF7A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7E2CB3B9">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4F8E0B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已标价工程量清单中有计算错位的，总价金额与依据单价计算出的结果不一致时，以单价金额为准修正总价，但单价金额小数点有明显错误的除外。</w:t>
      </w:r>
    </w:p>
    <w:p w14:paraId="46FAF271">
      <w:pPr>
        <w:adjustRightInd w:val="0"/>
        <w:snapToGrid w:val="0"/>
        <w:spacing w:line="480" w:lineRule="auto"/>
        <w:ind w:firstLine="420" w:firstLineChars="200"/>
        <w:rPr>
          <w:rFonts w:hint="eastAsia"/>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D8F055C">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7"/>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六、包括但不限于响应单位营业执照、开户证明等</w:t>
      </w:r>
    </w:p>
    <w:p w14:paraId="38BBD751">
      <w:pPr>
        <w:pStyle w:val="2"/>
      </w:pPr>
    </w:p>
    <w:p w14:paraId="46D7FF06">
      <w:pPr>
        <w:pStyle w:val="2"/>
      </w:pPr>
    </w:p>
    <w:p w14:paraId="12C1B9C7">
      <w:pPr>
        <w:pStyle w:val="2"/>
        <w:sectPr>
          <w:pgSz w:w="11905" w:h="16838"/>
          <w:pgMar w:top="1417" w:right="1417" w:bottom="1417" w:left="1417" w:header="850" w:footer="992" w:gutter="0"/>
          <w:pgNumType w:fmt="decimal"/>
          <w:cols w:space="0" w:num="1"/>
          <w:rtlGutter w:val="0"/>
          <w:docGrid w:type="lines" w:linePitch="323" w:charSpace="0"/>
        </w:sectPr>
      </w:pPr>
    </w:p>
    <w:p w14:paraId="3A60565F">
      <w:pPr>
        <w:pStyle w:val="2"/>
        <w:numPr>
          <w:ilvl w:val="0"/>
          <w:numId w:val="6"/>
        </w:numPr>
        <w:rPr>
          <w:rFonts w:hint="eastAsia" w:ascii="宋体" w:hAnsi="宋体" w:cs="宋体"/>
          <w:b/>
          <w:bCs/>
          <w:sz w:val="32"/>
          <w:szCs w:val="32"/>
          <w:lang w:val="en-US" w:eastAsia="zh-CN"/>
        </w:rPr>
      </w:pPr>
      <w:r>
        <w:rPr>
          <w:rFonts w:hint="eastAsia" w:ascii="宋体" w:hAnsi="宋体" w:cs="宋体"/>
          <w:b/>
          <w:bCs/>
          <w:sz w:val="32"/>
          <w:szCs w:val="32"/>
        </w:rPr>
        <w:t>拟投入本工程主要负责人</w:t>
      </w:r>
      <w:r>
        <w:rPr>
          <w:rFonts w:hint="eastAsia" w:ascii="宋体" w:hAnsi="宋体" w:cs="宋体"/>
          <w:b/>
          <w:bCs/>
          <w:sz w:val="32"/>
          <w:szCs w:val="32"/>
          <w:lang w:eastAsia="zh-CN"/>
        </w:rPr>
        <w:t>、</w:t>
      </w:r>
      <w:r>
        <w:rPr>
          <w:rFonts w:hint="eastAsia" w:ascii="宋体" w:hAnsi="宋体" w:cs="宋体"/>
          <w:b/>
          <w:bCs/>
          <w:sz w:val="32"/>
          <w:szCs w:val="32"/>
        </w:rPr>
        <w:t>技术和管理人员一览表</w:t>
      </w:r>
    </w:p>
    <w:tbl>
      <w:tblPr>
        <w:tblStyle w:val="16"/>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29E0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25AA3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3005A3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386C5A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5449AC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2E53AB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7AC46D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11A754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003FDE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4A69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06873B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576010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480F84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2C8FAF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4D578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1B313B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7528C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351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3DBFA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103D6C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2E8FB2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009488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FA932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E285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7FE75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596B7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2087C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7FDA22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EA9C3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340C6C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A6DF6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B99B3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3D7C0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4CEA6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48" w:type="dxa"/>
            <w:noWrap w:val="0"/>
            <w:vAlign w:val="top"/>
          </w:tcPr>
          <w:p w14:paraId="2513E0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3BBB44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1F76FE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1195" w:type="dxa"/>
            <w:noWrap w:val="0"/>
            <w:vAlign w:val="top"/>
          </w:tcPr>
          <w:p w14:paraId="2507DA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19BA8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ADC1D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4EEE0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6BD27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91877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0AD91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24D77A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1195" w:type="dxa"/>
            <w:noWrap w:val="0"/>
            <w:vAlign w:val="top"/>
          </w:tcPr>
          <w:p w14:paraId="4C103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0F43F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9FF8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0FAAD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23DA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3F862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5C80C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424A54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DF24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3926D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1E706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EF21C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1167F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F951C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88002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0FF0B8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4C982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F39CB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12FEB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A65CB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079B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56DC4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6E7CA5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36C4A1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FCD42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219DF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29A55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C8D37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3786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1536D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72DB86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3054D4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42F65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8D900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691CC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9F705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5D8A5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98543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28C246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6CA75E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ECC78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DA400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7C410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50A0C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CAC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76EEF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151A0F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51C220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0AB20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ECDA8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44060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1C0C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04162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AA73C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2D4FE7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495BC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B4D6C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1FBF2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8BE9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F8E27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229AF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6204A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1A17A9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03420F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AFA6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FD97E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96CA6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0AAA4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1E524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7FFA96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76B10C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6A8A4A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A384A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B5C37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EC73E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DA502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648B8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123797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03EC89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440B36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F0C55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D7A44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FB8FE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62C56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bl>
    <w:p w14:paraId="546BB768">
      <w:pPr>
        <w:pStyle w:val="2"/>
        <w:widowControl w:val="0"/>
        <w:numPr>
          <w:ilvl w:val="0"/>
          <w:numId w:val="0"/>
        </w:numPr>
        <w:spacing w:after="120" w:afterLines="0" w:line="240" w:lineRule="auto"/>
        <w:jc w:val="both"/>
        <w:rPr>
          <w:rFonts w:hint="eastAsia" w:ascii="宋体" w:hAnsi="宋体" w:cs="宋体"/>
          <w:b/>
          <w:bCs/>
          <w:sz w:val="32"/>
          <w:szCs w:val="32"/>
          <w:lang w:val="en-US" w:eastAsia="zh-CN"/>
        </w:rPr>
        <w:sectPr>
          <w:pgSz w:w="11905" w:h="16838"/>
          <w:pgMar w:top="1417" w:right="1417" w:bottom="1417" w:left="1417" w:header="850" w:footer="992" w:gutter="0"/>
          <w:pgNumType w:fmt="decimal"/>
          <w:cols w:space="0" w:num="1"/>
          <w:rtlGutter w:val="0"/>
          <w:docGrid w:type="lines" w:linePitch="323" w:charSpace="0"/>
        </w:sectPr>
      </w:pPr>
    </w:p>
    <w:p w14:paraId="1DF8C859">
      <w:pPr>
        <w:pStyle w:val="2"/>
        <w:widowControl w:val="0"/>
        <w:numPr>
          <w:ilvl w:val="0"/>
          <w:numId w:val="0"/>
        </w:numPr>
        <w:spacing w:after="120" w:afterLines="0" w:line="240" w:lineRule="auto"/>
        <w:jc w:val="both"/>
        <w:rPr>
          <w:rFonts w:hint="default" w:ascii="宋体" w:hAnsi="宋体" w:cs="宋体"/>
          <w:b/>
          <w:bCs/>
          <w:sz w:val="32"/>
          <w:szCs w:val="32"/>
          <w:lang w:val="en-US" w:eastAsia="zh-CN"/>
        </w:rPr>
        <w:sectPr>
          <w:pgSz w:w="11905" w:h="16838"/>
          <w:pgMar w:top="1417" w:right="1417" w:bottom="1417" w:left="1417" w:header="850" w:footer="992" w:gutter="0"/>
          <w:pgNumType w:fmt="decimal"/>
          <w:cols w:space="0" w:num="1"/>
          <w:rtlGutter w:val="0"/>
          <w:docGrid w:type="lines" w:linePitch="323" w:charSpace="0"/>
        </w:sectPr>
      </w:pPr>
      <w:r>
        <w:rPr>
          <w:rFonts w:hint="eastAsia" w:ascii="宋体" w:hAnsi="宋体" w:cs="宋体"/>
          <w:b/>
          <w:bCs/>
          <w:sz w:val="32"/>
          <w:szCs w:val="32"/>
          <w:lang w:val="en-US" w:eastAsia="zh-CN"/>
        </w:rPr>
        <w:t>八、</w:t>
      </w:r>
      <w:r>
        <w:rPr>
          <w:rFonts w:hint="eastAsia" w:ascii="宋体" w:hAnsi="宋体" w:eastAsia="宋体" w:cs="宋体"/>
          <w:b/>
          <w:bCs/>
          <w:sz w:val="32"/>
          <w:szCs w:val="32"/>
          <w:lang w:val="en-US" w:eastAsia="zh-CN"/>
        </w:rPr>
        <w:t>拌合楼设备的相关证明资料（包括但不限于铭牌、合格证等）</w:t>
      </w: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u w:val="single"/>
          <w:lang w:val="en-US" w:eastAsia="zh-CN"/>
        </w:rPr>
        <w:t>2025年杭州市临平区普通国道路基路面养护工程沥青混合料供料中混合料加工</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default" w:ascii="Times New Roman" w:hAnsi="Times New Roman" w:cs="Times New Roman"/>
          <w:szCs w:val="21"/>
          <w:u w:val="single"/>
        </w:rPr>
        <w:t xml:space="preserve">2025年杭州市临平区普通国道路基路面养护工程沥青混合料供料中混合料加工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5ED9FD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3962FBAC">
      <w:pPr>
        <w:pStyle w:val="2"/>
        <w:rPr>
          <w:rFonts w:hint="eastAsia" w:ascii="宋体" w:hAnsi="宋体" w:cs="宋体"/>
          <w:snapToGrid w:val="0"/>
          <w:kern w:val="0"/>
          <w:szCs w:val="21"/>
        </w:rPr>
      </w:pPr>
    </w:p>
    <w:p w14:paraId="37A2D7AC">
      <w:pPr>
        <w:pStyle w:val="2"/>
        <w:rPr>
          <w:rFonts w:hint="eastAsia" w:ascii="宋体" w:hAnsi="宋体" w:cs="宋体"/>
          <w:snapToGrid w:val="0"/>
          <w:kern w:val="0"/>
          <w:szCs w:val="21"/>
        </w:rPr>
        <w:sectPr>
          <w:pgSz w:w="11906" w:h="16838"/>
          <w:pgMar w:top="1440" w:right="1800" w:bottom="1440" w:left="1800" w:header="851" w:footer="992" w:gutter="0"/>
          <w:pgNumType w:fmt="decimal"/>
          <w:cols w:space="425" w:num="1"/>
          <w:docGrid w:type="lines" w:linePitch="312" w:charSpace="0"/>
        </w:sectPr>
      </w:pPr>
    </w:p>
    <w:p w14:paraId="17A0F46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bCs/>
          <w:snapToGrid w:val="0"/>
          <w:kern w:val="0"/>
          <w:sz w:val="32"/>
          <w:szCs w:val="32"/>
          <w:lang w:val="en-US" w:eastAsia="zh-CN"/>
        </w:rPr>
      </w:pPr>
      <w:r>
        <w:rPr>
          <w:rFonts w:hint="eastAsia" w:asciiTheme="minorEastAsia" w:hAnsiTheme="minorEastAsia" w:eastAsiaTheme="minorEastAsia" w:cstheme="minorEastAsia"/>
          <w:b/>
          <w:bCs/>
          <w:snapToGrid w:val="0"/>
          <w:kern w:val="0"/>
          <w:sz w:val="32"/>
          <w:szCs w:val="32"/>
          <w:lang w:val="en-US" w:eastAsia="zh-CN"/>
        </w:rPr>
        <w:t>十、质量保障方案</w:t>
      </w:r>
      <w:bookmarkStart w:id="35" w:name="_GoBack"/>
      <w:bookmarkEnd w:id="35"/>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48EE"/>
    <w:multiLevelType w:val="singleLevel"/>
    <w:tmpl w:val="8E4948EE"/>
    <w:lvl w:ilvl="0" w:tentative="0">
      <w:start w:val="1"/>
      <w:numFmt w:val="decimal"/>
      <w:suff w:val="nothing"/>
      <w:lvlText w:val="%1、"/>
      <w:lvlJc w:val="left"/>
    </w:lvl>
  </w:abstractNum>
  <w:abstractNum w:abstractNumId="1">
    <w:nsid w:val="9412E7A4"/>
    <w:multiLevelType w:val="singleLevel"/>
    <w:tmpl w:val="9412E7A4"/>
    <w:lvl w:ilvl="0" w:tentative="0">
      <w:start w:val="1"/>
      <w:numFmt w:val="chineseCounting"/>
      <w:suff w:val="space"/>
      <w:lvlText w:val="第%1章"/>
      <w:lvlJc w:val="left"/>
      <w:rPr>
        <w:rFonts w:hint="eastAsia"/>
      </w:rPr>
    </w:lvl>
  </w:abstractNum>
  <w:abstractNum w:abstractNumId="2">
    <w:nsid w:val="A500E06B"/>
    <w:multiLevelType w:val="singleLevel"/>
    <w:tmpl w:val="A500E06B"/>
    <w:lvl w:ilvl="0" w:tentative="0">
      <w:start w:val="1"/>
      <w:numFmt w:val="decimal"/>
      <w:suff w:val="nothing"/>
      <w:lvlText w:val="%1、"/>
      <w:lvlJc w:val="left"/>
    </w:lvl>
  </w:abstractNum>
  <w:abstractNum w:abstractNumId="3">
    <w:nsid w:val="B844FE5D"/>
    <w:multiLevelType w:val="singleLevel"/>
    <w:tmpl w:val="B844FE5D"/>
    <w:lvl w:ilvl="0" w:tentative="0">
      <w:start w:val="4"/>
      <w:numFmt w:val="chineseCounting"/>
      <w:suff w:val="nothing"/>
      <w:lvlText w:val="%1、"/>
      <w:lvlJc w:val="left"/>
      <w:rPr>
        <w:rFonts w:hint="eastAsia"/>
      </w:rPr>
    </w:lvl>
  </w:abstractNum>
  <w:abstractNum w:abstractNumId="4">
    <w:nsid w:val="D98153FA"/>
    <w:multiLevelType w:val="singleLevel"/>
    <w:tmpl w:val="D98153FA"/>
    <w:lvl w:ilvl="0" w:tentative="0">
      <w:start w:val="7"/>
      <w:numFmt w:val="chineseCounting"/>
      <w:suff w:val="nothing"/>
      <w:lvlText w:val="%1、"/>
      <w:lvlJc w:val="left"/>
      <w:rPr>
        <w:rFonts w:hint="eastAsia"/>
      </w:rPr>
    </w:lvl>
  </w:abstractNum>
  <w:abstractNum w:abstractNumId="5">
    <w:nsid w:val="DBD05C21"/>
    <w:multiLevelType w:val="singleLevel"/>
    <w:tmpl w:val="DBD05C21"/>
    <w:lvl w:ilvl="0" w:tentative="0">
      <w:start w:val="1"/>
      <w:numFmt w:val="decimal"/>
      <w:suff w:val="space"/>
      <w:lvlText w:val="%1、"/>
      <w:lvlJc w:val="left"/>
      <w:rPr>
        <w:rFonts w:hint="default"/>
        <w:b/>
        <w:bCs/>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A769E"/>
    <w:rsid w:val="098D6817"/>
    <w:rsid w:val="0B1A3243"/>
    <w:rsid w:val="0C6444A9"/>
    <w:rsid w:val="0FF878BE"/>
    <w:rsid w:val="107F4DF3"/>
    <w:rsid w:val="10A92F65"/>
    <w:rsid w:val="12376211"/>
    <w:rsid w:val="124D7D92"/>
    <w:rsid w:val="126A5144"/>
    <w:rsid w:val="131206FE"/>
    <w:rsid w:val="176A5C95"/>
    <w:rsid w:val="17CB565C"/>
    <w:rsid w:val="195977A9"/>
    <w:rsid w:val="1A503868"/>
    <w:rsid w:val="1B7C0CCC"/>
    <w:rsid w:val="1BD37366"/>
    <w:rsid w:val="1C546A97"/>
    <w:rsid w:val="1C9C6D7D"/>
    <w:rsid w:val="1D570607"/>
    <w:rsid w:val="1D836902"/>
    <w:rsid w:val="20476ABB"/>
    <w:rsid w:val="216A6484"/>
    <w:rsid w:val="26315DC1"/>
    <w:rsid w:val="274A4620"/>
    <w:rsid w:val="287B0123"/>
    <w:rsid w:val="295645B3"/>
    <w:rsid w:val="2A3A5EF1"/>
    <w:rsid w:val="2C647B8B"/>
    <w:rsid w:val="2CC00FAA"/>
    <w:rsid w:val="2D1C1D90"/>
    <w:rsid w:val="2DA6409D"/>
    <w:rsid w:val="2DB52280"/>
    <w:rsid w:val="33B47A94"/>
    <w:rsid w:val="34620120"/>
    <w:rsid w:val="34A0463D"/>
    <w:rsid w:val="34D31A6E"/>
    <w:rsid w:val="3A012039"/>
    <w:rsid w:val="3AD319B4"/>
    <w:rsid w:val="3BE60F05"/>
    <w:rsid w:val="3D53112B"/>
    <w:rsid w:val="3E9055C8"/>
    <w:rsid w:val="3EE13DB5"/>
    <w:rsid w:val="45D67B80"/>
    <w:rsid w:val="47CF445E"/>
    <w:rsid w:val="486E7F2A"/>
    <w:rsid w:val="495A763E"/>
    <w:rsid w:val="4A980693"/>
    <w:rsid w:val="4BAF659F"/>
    <w:rsid w:val="4E9143FB"/>
    <w:rsid w:val="4F0D6614"/>
    <w:rsid w:val="538F2EE8"/>
    <w:rsid w:val="54144CC4"/>
    <w:rsid w:val="559076D5"/>
    <w:rsid w:val="565C6341"/>
    <w:rsid w:val="5CCE283B"/>
    <w:rsid w:val="5D010B99"/>
    <w:rsid w:val="5D264B98"/>
    <w:rsid w:val="5E5F336E"/>
    <w:rsid w:val="615E0678"/>
    <w:rsid w:val="630221A1"/>
    <w:rsid w:val="65C503A7"/>
    <w:rsid w:val="68956642"/>
    <w:rsid w:val="6D44125A"/>
    <w:rsid w:val="6E87498A"/>
    <w:rsid w:val="70D63808"/>
    <w:rsid w:val="72323E9C"/>
    <w:rsid w:val="72CB365A"/>
    <w:rsid w:val="73AE78F4"/>
    <w:rsid w:val="783D4C34"/>
    <w:rsid w:val="7AFA4078"/>
    <w:rsid w:val="7B2A01CA"/>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2">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3">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4">
    <w:name w:val="目录"/>
    <w:basedOn w:val="1"/>
    <w:link w:val="25"/>
    <w:autoRedefine/>
    <w:qFormat/>
    <w:uiPriority w:val="0"/>
    <w:pPr>
      <w:spacing w:beforeLines="0" w:afterLines="0" w:line="240" w:lineRule="auto"/>
      <w:ind w:firstLine="0" w:firstLineChars="0"/>
      <w:jc w:val="center"/>
    </w:pPr>
    <w:rPr>
      <w:rFonts w:ascii="宋体" w:hAnsi="宋体"/>
      <w:b/>
      <w:sz w:val="30"/>
    </w:rPr>
  </w:style>
  <w:style w:type="character" w:customStyle="1" w:styleId="25">
    <w:name w:val="目录 Char"/>
    <w:link w:val="24"/>
    <w:autoRedefine/>
    <w:qFormat/>
    <w:uiPriority w:val="0"/>
    <w:rPr>
      <w:rFonts w:ascii="宋体" w:hAnsi="宋体"/>
      <w:b/>
      <w:sz w:val="30"/>
    </w:rPr>
  </w:style>
  <w:style w:type="paragraph" w:customStyle="1" w:styleId="26">
    <w:name w:val="表格内容"/>
    <w:basedOn w:val="1"/>
    <w:autoRedefine/>
    <w:qFormat/>
    <w:uiPriority w:val="0"/>
    <w:pPr>
      <w:ind w:firstLine="0" w:firstLineChars="0"/>
    </w:pPr>
    <w:rPr>
      <w:rFonts w:hint="default" w:ascii="Times New Roman" w:hAnsi="Times New Roman"/>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标题 1 Char"/>
    <w:link w:val="4"/>
    <w:autoRedefine/>
    <w:qFormat/>
    <w:uiPriority w:val="0"/>
    <w:rPr>
      <w:rFonts w:ascii="Times New Roman" w:hAnsi="Times New Roman" w:eastAsia="宋体"/>
      <w:b/>
      <w:bCs/>
      <w:kern w:val="44"/>
      <w:sz w:val="28"/>
      <w:szCs w:val="44"/>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11"/>
    <w:basedOn w:val="18"/>
    <w:qFormat/>
    <w:uiPriority w:val="0"/>
    <w:rPr>
      <w:rFonts w:hint="eastAsia" w:ascii="宋体" w:hAnsi="宋体" w:eastAsia="宋体" w:cs="宋体"/>
      <w:color w:val="000000"/>
      <w:sz w:val="22"/>
      <w:szCs w:val="22"/>
      <w:u w:val="none"/>
      <w:vertAlign w:val="superscript"/>
    </w:rPr>
  </w:style>
  <w:style w:type="paragraph" w:customStyle="1" w:styleId="31">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5494</Words>
  <Characters>5806</Characters>
  <Lines>1</Lines>
  <Paragraphs>1</Paragraphs>
  <TotalTime>1</TotalTime>
  <ScaleCrop>false</ScaleCrop>
  <LinksUpToDate>false</LinksUpToDate>
  <CharactersWithSpaces>6806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2025-05-20T02:24:00Z</cp:lastPrinted>
  <dcterms:modified xsi:type="dcterms:W3CDTF">2025-07-02T11:26:12Z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2A6B4536DA914A379E3C217C3EA07107_13</vt:lpwstr>
  </property>
  <property fmtid="{D5CDD505-2E9C-101B-9397-08002B2CF9AE}" pid="4" name="KSOTemplateDocerSaveRecord">
    <vt:lpwstr>eyJoZGlkIjoiOGQ2YzA3MTczY2ZiMjA3YmY3ODU2NWRjZjFlZjFiYTgiLCJ1c2VySWQiOiI0NDQ3Njk5NzEifQ==</vt:lpwstr>
  </property>
</Properties>
</file>