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6F6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bCs/>
          <w:sz w:val="44"/>
          <w:szCs w:val="44"/>
          <w:lang w:val="en-US" w:eastAsia="zh-CN"/>
        </w:rPr>
      </w:pPr>
      <w:r>
        <w:rPr>
          <w:rFonts w:hint="eastAsia" w:eastAsia="宋体"/>
          <w:b/>
          <w:bCs/>
          <w:sz w:val="44"/>
          <w:szCs w:val="44"/>
          <w:lang w:val="en-US" w:eastAsia="zh-CN"/>
        </w:rPr>
        <w:t>湖州南太湖新区市本级移交道路</w:t>
      </w:r>
    </w:p>
    <w:p w14:paraId="4DBCC1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52"/>
          <w:szCs w:val="52"/>
          <w:lang w:eastAsia="zh-CN"/>
        </w:rPr>
      </w:pPr>
      <w:r>
        <w:rPr>
          <w:rFonts w:hint="eastAsia" w:eastAsia="宋体"/>
          <w:b/>
          <w:bCs/>
          <w:sz w:val="44"/>
          <w:szCs w:val="44"/>
          <w:lang w:val="en-US" w:eastAsia="zh-CN"/>
        </w:rPr>
        <w:t>维修养护项目（2025-2027年度）</w:t>
      </w:r>
    </w:p>
    <w:p w14:paraId="5D5E8293">
      <w:pPr>
        <w:bidi w:val="0"/>
        <w:rPr>
          <w:rFonts w:hint="eastAsia"/>
        </w:rPr>
      </w:pPr>
    </w:p>
    <w:p w14:paraId="3F63EA10">
      <w:pPr>
        <w:bidi w:val="0"/>
        <w:rPr>
          <w:rFonts w:hint="eastAsia"/>
        </w:rPr>
      </w:pPr>
    </w:p>
    <w:p w14:paraId="18B422A1">
      <w:pPr>
        <w:bidi w:val="0"/>
        <w:rPr>
          <w:rFonts w:hint="eastAsia"/>
        </w:rPr>
      </w:pPr>
    </w:p>
    <w:p w14:paraId="300F0D2A">
      <w:pPr>
        <w:pStyle w:val="2"/>
        <w:rPr>
          <w:rFonts w:hint="eastAsia"/>
        </w:rPr>
      </w:pPr>
    </w:p>
    <w:p w14:paraId="2388FA26">
      <w:pPr>
        <w:pStyle w:val="2"/>
        <w:rPr>
          <w:rFonts w:hint="eastAsia"/>
        </w:rPr>
      </w:pPr>
    </w:p>
    <w:p w14:paraId="6FB881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lang w:val="en-US" w:eastAsia="zh-CN"/>
        </w:rPr>
      </w:pPr>
      <w:bookmarkStart w:id="0" w:name="_Toc5776"/>
      <w:bookmarkStart w:id="1" w:name="_Toc14209"/>
      <w:bookmarkStart w:id="2" w:name="_Toc20249"/>
      <w:r>
        <w:rPr>
          <w:rFonts w:hint="eastAsia"/>
          <w:b/>
          <w:bCs/>
          <w:sz w:val="44"/>
          <w:szCs w:val="44"/>
          <w:lang w:val="en-US" w:eastAsia="zh-CN"/>
        </w:rPr>
        <w:t>2025年度沥青混合料采购</w:t>
      </w:r>
    </w:p>
    <w:p w14:paraId="7D0D43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rPr>
      </w:pPr>
      <w:r>
        <w:rPr>
          <w:rFonts w:hint="eastAsia"/>
          <w:b/>
          <w:bCs/>
          <w:sz w:val="44"/>
          <w:szCs w:val="44"/>
          <w:lang w:val="en-US" w:eastAsia="zh-CN"/>
        </w:rPr>
        <w:t>公开</w:t>
      </w:r>
      <w:r>
        <w:rPr>
          <w:rFonts w:hint="eastAsia"/>
          <w:b/>
          <w:bCs/>
          <w:sz w:val="44"/>
          <w:szCs w:val="44"/>
        </w:rPr>
        <w:t>选择文件</w:t>
      </w:r>
      <w:bookmarkEnd w:id="0"/>
      <w:bookmarkEnd w:id="1"/>
      <w:bookmarkEnd w:id="2"/>
    </w:p>
    <w:p w14:paraId="5F998308">
      <w:pPr>
        <w:bidi w:val="0"/>
        <w:rPr>
          <w:rFonts w:hint="eastAsia"/>
        </w:rPr>
      </w:pPr>
    </w:p>
    <w:p w14:paraId="6332648B">
      <w:pPr>
        <w:bidi w:val="0"/>
        <w:rPr>
          <w:rFonts w:hint="eastAsia"/>
        </w:rPr>
      </w:pPr>
    </w:p>
    <w:p w14:paraId="442CF065">
      <w:pPr>
        <w:bidi w:val="0"/>
        <w:rPr>
          <w:rFonts w:hint="eastAsia"/>
        </w:rPr>
      </w:pPr>
    </w:p>
    <w:p w14:paraId="5FBCB579">
      <w:pPr>
        <w:bidi w:val="0"/>
        <w:rPr>
          <w:rFonts w:hint="eastAsia"/>
        </w:rPr>
      </w:pPr>
    </w:p>
    <w:p w14:paraId="4E96A24D">
      <w:pPr>
        <w:bidi w:val="0"/>
        <w:ind w:left="0" w:leftChars="0" w:firstLine="0" w:firstLineChars="0"/>
        <w:rPr>
          <w:rFonts w:hint="eastAsia"/>
        </w:rPr>
      </w:pPr>
    </w:p>
    <w:p w14:paraId="0DDAEEAC">
      <w:pPr>
        <w:bidi w:val="0"/>
        <w:rPr>
          <w:rFonts w:hint="eastAsia"/>
        </w:rPr>
      </w:pPr>
    </w:p>
    <w:p w14:paraId="5125209D">
      <w:pPr>
        <w:bidi w:val="0"/>
        <w:rPr>
          <w:rFonts w:hint="eastAsia"/>
        </w:rPr>
      </w:pPr>
    </w:p>
    <w:p w14:paraId="1C75650C">
      <w:pPr>
        <w:pStyle w:val="2"/>
        <w:rPr>
          <w:rFonts w:hint="eastAsia"/>
        </w:rPr>
      </w:pPr>
    </w:p>
    <w:p w14:paraId="2B0A8ED5">
      <w:pPr>
        <w:pStyle w:val="2"/>
        <w:rPr>
          <w:rFonts w:hint="eastAsia"/>
        </w:rPr>
      </w:pPr>
    </w:p>
    <w:p w14:paraId="04F9FAEE">
      <w:pPr>
        <w:pStyle w:val="2"/>
        <w:rPr>
          <w:rFonts w:hint="eastAsia"/>
        </w:rPr>
      </w:pPr>
    </w:p>
    <w:p w14:paraId="418562F8">
      <w:pPr>
        <w:pStyle w:val="2"/>
        <w:rPr>
          <w:rFonts w:hint="eastAsia"/>
        </w:rPr>
      </w:pPr>
    </w:p>
    <w:p w14:paraId="64F04C90">
      <w:pPr>
        <w:pStyle w:val="2"/>
        <w:rPr>
          <w:rFonts w:hint="eastAsia"/>
        </w:rPr>
      </w:pPr>
    </w:p>
    <w:p w14:paraId="6EA35D6C">
      <w:pPr>
        <w:pStyle w:val="2"/>
        <w:rPr>
          <w:rFonts w:hint="eastAsia"/>
        </w:rPr>
      </w:pPr>
    </w:p>
    <w:p w14:paraId="2FEE195D">
      <w:pPr>
        <w:pStyle w:val="2"/>
        <w:rPr>
          <w:rFonts w:hint="eastAsia"/>
        </w:rPr>
      </w:pPr>
    </w:p>
    <w:p w14:paraId="5D465201">
      <w:pPr>
        <w:bidi w:val="0"/>
        <w:ind w:left="0" w:leftChars="0" w:firstLine="0" w:firstLineChars="0"/>
        <w:rPr>
          <w:rFonts w:hint="eastAsia"/>
        </w:rPr>
      </w:pPr>
    </w:p>
    <w:p w14:paraId="5FD21121">
      <w:pPr>
        <w:bidi w:val="0"/>
        <w:rPr>
          <w:rFonts w:hint="eastAsia"/>
        </w:rPr>
      </w:pPr>
    </w:p>
    <w:p w14:paraId="1C5672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bookmarkStart w:id="3" w:name="_Toc9427"/>
      <w:bookmarkStart w:id="4" w:name="_Toc31777"/>
      <w:bookmarkStart w:id="5" w:name="_Toc5498"/>
      <w:r>
        <w:rPr>
          <w:rFonts w:hint="eastAsia"/>
          <w:b/>
          <w:bCs/>
          <w:sz w:val="36"/>
          <w:szCs w:val="36"/>
          <w:lang w:val="en-US" w:eastAsia="zh-CN"/>
        </w:rPr>
        <w:t>选择人：</w:t>
      </w:r>
      <w:r>
        <w:rPr>
          <w:rFonts w:hint="eastAsia"/>
          <w:b/>
          <w:bCs/>
          <w:sz w:val="36"/>
          <w:szCs w:val="36"/>
        </w:rPr>
        <w:t>杭州交通高等级公路养护有限公司</w:t>
      </w:r>
      <w:bookmarkEnd w:id="3"/>
      <w:bookmarkEnd w:id="4"/>
      <w:bookmarkEnd w:id="5"/>
    </w:p>
    <w:p w14:paraId="7D66C097">
      <w:pPr>
        <w:bidi w:val="0"/>
        <w:rPr>
          <w:rFonts w:hint="eastAsia"/>
        </w:rPr>
      </w:pPr>
    </w:p>
    <w:p w14:paraId="16156CCC">
      <w:pPr>
        <w:bidi w:val="0"/>
        <w:rPr>
          <w:rFonts w:hint="eastAsia"/>
        </w:rPr>
      </w:pPr>
    </w:p>
    <w:p w14:paraId="50482F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6"/>
          <w:szCs w:val="36"/>
        </w:rPr>
      </w:pPr>
      <w:bookmarkStart w:id="6" w:name="_Toc20748"/>
      <w:bookmarkStart w:id="7" w:name="_Toc25711"/>
      <w:bookmarkStart w:id="8" w:name="_Toc18449"/>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八</w:t>
      </w:r>
      <w:r>
        <w:rPr>
          <w:rFonts w:hint="eastAsia"/>
          <w:b/>
          <w:bCs/>
          <w:sz w:val="36"/>
          <w:szCs w:val="36"/>
        </w:rPr>
        <w:t>月</w:t>
      </w:r>
      <w:bookmarkEnd w:id="6"/>
      <w:bookmarkEnd w:id="7"/>
      <w:bookmarkEnd w:id="8"/>
    </w:p>
    <w:p w14:paraId="660D62E1">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4F6C9AC6">
          <w:pPr>
            <w:spacing w:before="0" w:beforeLines="0" w:after="0" w:afterLines="0" w:line="240" w:lineRule="auto"/>
            <w:ind w:left="0" w:leftChars="0" w:right="0" w:rightChars="0" w:firstLine="0" w:firstLineChars="0"/>
            <w:jc w:val="center"/>
          </w:pPr>
          <w:r>
            <w:rPr>
              <w:rStyle w:val="24"/>
            </w:rPr>
            <w:t>目录</w:t>
          </w:r>
        </w:p>
        <w:p w14:paraId="687042A5">
          <w:pPr>
            <w:pStyle w:val="12"/>
            <w:tabs>
              <w:tab w:val="right" w:leader="dot" w:pos="8306"/>
            </w:tabs>
          </w:pPr>
          <w:r>
            <w:fldChar w:fldCharType="begin"/>
          </w:r>
          <w:r>
            <w:instrText xml:space="preserve">TOC \o "1-2" \h \u </w:instrText>
          </w:r>
          <w:r>
            <w:fldChar w:fldCharType="separate"/>
          </w:r>
          <w:r>
            <w:fldChar w:fldCharType="begin"/>
          </w:r>
          <w:r>
            <w:instrText xml:space="preserve"> HYPERLINK \l _Toc6285 </w:instrText>
          </w:r>
          <w:r>
            <w:fldChar w:fldCharType="separate"/>
          </w:r>
          <w:r>
            <w:rPr>
              <w:rFonts w:hint="eastAsia"/>
              <w:lang w:val="en-US" w:eastAsia="zh-CN"/>
            </w:rPr>
            <w:t>第一章 选择公告</w:t>
          </w:r>
          <w:r>
            <w:tab/>
          </w:r>
          <w:r>
            <w:fldChar w:fldCharType="begin"/>
          </w:r>
          <w:r>
            <w:instrText xml:space="preserve"> PAGEREF _Toc6285 \h </w:instrText>
          </w:r>
          <w:r>
            <w:fldChar w:fldCharType="separate"/>
          </w:r>
          <w:r>
            <w:t>1</w:t>
          </w:r>
          <w:r>
            <w:fldChar w:fldCharType="end"/>
          </w:r>
          <w:r>
            <w:fldChar w:fldCharType="end"/>
          </w:r>
        </w:p>
        <w:p w14:paraId="24DB2FD8">
          <w:pPr>
            <w:pStyle w:val="13"/>
            <w:tabs>
              <w:tab w:val="right" w:leader="dot" w:pos="8306"/>
            </w:tabs>
          </w:pPr>
          <w:r>
            <w:fldChar w:fldCharType="begin"/>
          </w:r>
          <w:r>
            <w:instrText xml:space="preserve"> HYPERLINK \l _Toc30113 </w:instrText>
          </w:r>
          <w:r>
            <w:fldChar w:fldCharType="separate"/>
          </w:r>
          <w:r>
            <w:rPr>
              <w:rFonts w:hint="eastAsia"/>
              <w:lang w:val="en-US" w:eastAsia="zh-CN"/>
            </w:rPr>
            <w:t>1、 项目概况与选择范围</w:t>
          </w:r>
          <w:r>
            <w:tab/>
          </w:r>
          <w:r>
            <w:fldChar w:fldCharType="begin"/>
          </w:r>
          <w:r>
            <w:instrText xml:space="preserve"> PAGEREF _Toc30113 \h </w:instrText>
          </w:r>
          <w:r>
            <w:fldChar w:fldCharType="separate"/>
          </w:r>
          <w:r>
            <w:t>1</w:t>
          </w:r>
          <w:r>
            <w:fldChar w:fldCharType="end"/>
          </w:r>
          <w:r>
            <w:fldChar w:fldCharType="end"/>
          </w:r>
        </w:p>
        <w:p w14:paraId="3694F0BC">
          <w:pPr>
            <w:pStyle w:val="13"/>
            <w:tabs>
              <w:tab w:val="right" w:leader="dot" w:pos="8306"/>
            </w:tabs>
          </w:pPr>
          <w:r>
            <w:fldChar w:fldCharType="begin"/>
          </w:r>
          <w:r>
            <w:instrText xml:space="preserve"> HYPERLINK \l _Toc25563 </w:instrText>
          </w:r>
          <w:r>
            <w:fldChar w:fldCharType="separate"/>
          </w:r>
          <w:r>
            <w:rPr>
              <w:rFonts w:hint="eastAsia"/>
              <w:lang w:val="en-US" w:eastAsia="zh-CN"/>
            </w:rPr>
            <w:t>2、 服务期限</w:t>
          </w:r>
          <w:r>
            <w:tab/>
          </w:r>
          <w:r>
            <w:fldChar w:fldCharType="begin"/>
          </w:r>
          <w:r>
            <w:instrText xml:space="preserve"> PAGEREF _Toc25563 \h </w:instrText>
          </w:r>
          <w:r>
            <w:fldChar w:fldCharType="separate"/>
          </w:r>
          <w:r>
            <w:t>1</w:t>
          </w:r>
          <w:r>
            <w:fldChar w:fldCharType="end"/>
          </w:r>
          <w:r>
            <w:fldChar w:fldCharType="end"/>
          </w:r>
        </w:p>
        <w:p w14:paraId="1087F7FE">
          <w:pPr>
            <w:pStyle w:val="13"/>
            <w:tabs>
              <w:tab w:val="right" w:leader="dot" w:pos="8306"/>
            </w:tabs>
          </w:pPr>
          <w:r>
            <w:fldChar w:fldCharType="begin"/>
          </w:r>
          <w:r>
            <w:instrText xml:space="preserve"> HYPERLINK \l _Toc9402 </w:instrText>
          </w:r>
          <w:r>
            <w:fldChar w:fldCharType="separate"/>
          </w:r>
          <w:r>
            <w:rPr>
              <w:rFonts w:hint="eastAsia"/>
              <w:lang w:val="en-US" w:eastAsia="zh-CN"/>
            </w:rPr>
            <w:t>3、 服务地点</w:t>
          </w:r>
          <w:r>
            <w:tab/>
          </w:r>
          <w:r>
            <w:fldChar w:fldCharType="begin"/>
          </w:r>
          <w:r>
            <w:instrText xml:space="preserve"> PAGEREF _Toc9402 \h </w:instrText>
          </w:r>
          <w:r>
            <w:fldChar w:fldCharType="separate"/>
          </w:r>
          <w:r>
            <w:t>2</w:t>
          </w:r>
          <w:r>
            <w:fldChar w:fldCharType="end"/>
          </w:r>
          <w:r>
            <w:fldChar w:fldCharType="end"/>
          </w:r>
        </w:p>
        <w:p w14:paraId="1E11C325">
          <w:pPr>
            <w:pStyle w:val="13"/>
            <w:tabs>
              <w:tab w:val="right" w:leader="dot" w:pos="8306"/>
            </w:tabs>
          </w:pPr>
          <w:r>
            <w:fldChar w:fldCharType="begin"/>
          </w:r>
          <w:r>
            <w:instrText xml:space="preserve"> HYPERLINK \l _Toc11173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_Toc11173 \h </w:instrText>
          </w:r>
          <w:r>
            <w:fldChar w:fldCharType="separate"/>
          </w:r>
          <w:r>
            <w:t>2</w:t>
          </w:r>
          <w:r>
            <w:fldChar w:fldCharType="end"/>
          </w:r>
          <w:r>
            <w:fldChar w:fldCharType="end"/>
          </w:r>
        </w:p>
        <w:p w14:paraId="5D83C2DF">
          <w:pPr>
            <w:pStyle w:val="13"/>
            <w:tabs>
              <w:tab w:val="right" w:leader="dot" w:pos="8306"/>
            </w:tabs>
          </w:pPr>
          <w:r>
            <w:fldChar w:fldCharType="begin"/>
          </w:r>
          <w:r>
            <w:instrText xml:space="preserve"> HYPERLINK \l _Toc13757 </w:instrText>
          </w:r>
          <w:r>
            <w:fldChar w:fldCharType="separate"/>
          </w:r>
          <w:r>
            <w:rPr>
              <w:rFonts w:hint="default"/>
              <w:lang w:val="en-US" w:eastAsia="zh-CN"/>
            </w:rPr>
            <w:t xml:space="preserve">5、 </w:t>
          </w:r>
          <w:r>
            <w:rPr>
              <w:rFonts w:hint="eastAsia"/>
              <w:lang w:val="en-US" w:eastAsia="zh-CN"/>
            </w:rPr>
            <w:t>选择文件的获取</w:t>
          </w:r>
          <w:r>
            <w:tab/>
          </w:r>
          <w:r>
            <w:fldChar w:fldCharType="begin"/>
          </w:r>
          <w:r>
            <w:instrText xml:space="preserve"> PAGEREF _Toc13757 \h </w:instrText>
          </w:r>
          <w:r>
            <w:fldChar w:fldCharType="separate"/>
          </w:r>
          <w:r>
            <w:t>2</w:t>
          </w:r>
          <w:r>
            <w:fldChar w:fldCharType="end"/>
          </w:r>
          <w:r>
            <w:fldChar w:fldCharType="end"/>
          </w:r>
        </w:p>
        <w:p w14:paraId="16EC4E00">
          <w:pPr>
            <w:pStyle w:val="13"/>
            <w:tabs>
              <w:tab w:val="right" w:leader="dot" w:pos="8306"/>
            </w:tabs>
          </w:pPr>
          <w:r>
            <w:fldChar w:fldCharType="begin"/>
          </w:r>
          <w:r>
            <w:instrText xml:space="preserve"> HYPERLINK \l _Toc2206 </w:instrText>
          </w:r>
          <w:r>
            <w:fldChar w:fldCharType="separate"/>
          </w:r>
          <w:r>
            <w:rPr>
              <w:rFonts w:hint="eastAsia"/>
              <w:lang w:val="en-US" w:eastAsia="zh-CN"/>
            </w:rPr>
            <w:t>7、发布公告的媒介</w:t>
          </w:r>
          <w:r>
            <w:tab/>
          </w:r>
          <w:r>
            <w:fldChar w:fldCharType="begin"/>
          </w:r>
          <w:r>
            <w:instrText xml:space="preserve"> PAGEREF _Toc2206 \h </w:instrText>
          </w:r>
          <w:r>
            <w:fldChar w:fldCharType="separate"/>
          </w:r>
          <w:r>
            <w:t>2</w:t>
          </w:r>
          <w:r>
            <w:fldChar w:fldCharType="end"/>
          </w:r>
          <w:r>
            <w:fldChar w:fldCharType="end"/>
          </w:r>
        </w:p>
        <w:p w14:paraId="0753FCA8">
          <w:pPr>
            <w:pStyle w:val="13"/>
            <w:tabs>
              <w:tab w:val="right" w:leader="dot" w:pos="8306"/>
            </w:tabs>
          </w:pPr>
          <w:r>
            <w:fldChar w:fldCharType="begin"/>
          </w:r>
          <w:r>
            <w:instrText xml:space="preserve"> HYPERLINK \l _Toc4975 </w:instrText>
          </w:r>
          <w:r>
            <w:fldChar w:fldCharType="separate"/>
          </w:r>
          <w:r>
            <w:rPr>
              <w:rFonts w:hint="eastAsia"/>
              <w:lang w:val="en-US" w:eastAsia="zh-CN"/>
            </w:rPr>
            <w:t>8、联系方式</w:t>
          </w:r>
          <w:r>
            <w:tab/>
          </w:r>
          <w:r>
            <w:fldChar w:fldCharType="begin"/>
          </w:r>
          <w:r>
            <w:instrText xml:space="preserve"> PAGEREF _Toc4975 \h </w:instrText>
          </w:r>
          <w:r>
            <w:fldChar w:fldCharType="separate"/>
          </w:r>
          <w:r>
            <w:t>2</w:t>
          </w:r>
          <w:r>
            <w:fldChar w:fldCharType="end"/>
          </w:r>
          <w:r>
            <w:fldChar w:fldCharType="end"/>
          </w:r>
        </w:p>
        <w:p w14:paraId="03666FD9">
          <w:pPr>
            <w:pStyle w:val="12"/>
            <w:tabs>
              <w:tab w:val="right" w:leader="dot" w:pos="8306"/>
            </w:tabs>
          </w:pPr>
          <w:r>
            <w:fldChar w:fldCharType="begin"/>
          </w:r>
          <w:r>
            <w:instrText xml:space="preserve"> HYPERLINK \l _Toc9165 </w:instrText>
          </w:r>
          <w:r>
            <w:fldChar w:fldCharType="separate"/>
          </w:r>
          <w:r>
            <w:rPr>
              <w:rFonts w:hint="eastAsia"/>
              <w:lang w:val="en-US" w:eastAsia="zh-CN"/>
            </w:rPr>
            <w:t>第二章 响应人须知</w:t>
          </w:r>
          <w:r>
            <w:tab/>
          </w:r>
          <w:r>
            <w:fldChar w:fldCharType="begin"/>
          </w:r>
          <w:r>
            <w:instrText xml:space="preserve"> PAGEREF _Toc9165 \h </w:instrText>
          </w:r>
          <w:r>
            <w:fldChar w:fldCharType="separate"/>
          </w:r>
          <w:r>
            <w:t>4</w:t>
          </w:r>
          <w:r>
            <w:fldChar w:fldCharType="end"/>
          </w:r>
          <w:r>
            <w:fldChar w:fldCharType="end"/>
          </w:r>
        </w:p>
        <w:p w14:paraId="084D8082">
          <w:pPr>
            <w:pStyle w:val="12"/>
            <w:tabs>
              <w:tab w:val="right" w:leader="dot" w:pos="8306"/>
            </w:tabs>
          </w:pPr>
          <w:r>
            <w:fldChar w:fldCharType="begin"/>
          </w:r>
          <w:r>
            <w:instrText xml:space="preserve"> HYPERLINK \l _Toc28336 </w:instrText>
          </w:r>
          <w:r>
            <w:fldChar w:fldCharType="separate"/>
          </w:r>
          <w:r>
            <w:rPr>
              <w:rFonts w:hint="eastAsia"/>
              <w:lang w:val="en-US" w:eastAsia="zh-CN"/>
            </w:rPr>
            <w:t>第三章 工程量清单</w:t>
          </w:r>
          <w:r>
            <w:tab/>
          </w:r>
          <w:r>
            <w:fldChar w:fldCharType="begin"/>
          </w:r>
          <w:r>
            <w:instrText xml:space="preserve"> PAGEREF _Toc28336 \h </w:instrText>
          </w:r>
          <w:r>
            <w:fldChar w:fldCharType="separate"/>
          </w:r>
          <w:r>
            <w:t>7</w:t>
          </w:r>
          <w:r>
            <w:fldChar w:fldCharType="end"/>
          </w:r>
          <w:r>
            <w:fldChar w:fldCharType="end"/>
          </w:r>
        </w:p>
        <w:p w14:paraId="32905D58">
          <w:pPr>
            <w:pStyle w:val="12"/>
            <w:tabs>
              <w:tab w:val="right" w:leader="dot" w:pos="8306"/>
            </w:tabs>
          </w:pPr>
          <w:r>
            <w:fldChar w:fldCharType="begin"/>
          </w:r>
          <w:r>
            <w:instrText xml:space="preserve"> HYPERLINK \l _Toc11967 </w:instrText>
          </w:r>
          <w:r>
            <w:fldChar w:fldCharType="separate"/>
          </w:r>
          <w:r>
            <w:rPr>
              <w:rFonts w:hint="eastAsia"/>
              <w:lang w:val="en-US" w:eastAsia="zh-CN"/>
            </w:rPr>
            <w:t>第四章 评选办法</w:t>
          </w:r>
          <w:r>
            <w:tab/>
          </w:r>
          <w:r>
            <w:fldChar w:fldCharType="begin"/>
          </w:r>
          <w:r>
            <w:instrText xml:space="preserve"> PAGEREF _Toc11967 \h </w:instrText>
          </w:r>
          <w:r>
            <w:fldChar w:fldCharType="separate"/>
          </w:r>
          <w:r>
            <w:t>8</w:t>
          </w:r>
          <w:r>
            <w:fldChar w:fldCharType="end"/>
          </w:r>
          <w:r>
            <w:fldChar w:fldCharType="end"/>
          </w:r>
        </w:p>
        <w:p w14:paraId="27F981C4">
          <w:pPr>
            <w:pStyle w:val="13"/>
            <w:tabs>
              <w:tab w:val="right" w:leader="dot" w:pos="8306"/>
            </w:tabs>
          </w:pPr>
          <w:r>
            <w:fldChar w:fldCharType="begin"/>
          </w:r>
          <w:r>
            <w:instrText xml:space="preserve"> HYPERLINK \l _Toc3675 </w:instrText>
          </w:r>
          <w:r>
            <w:fldChar w:fldCharType="separate"/>
          </w:r>
          <w:r>
            <w:rPr>
              <w:rFonts w:hint="eastAsia"/>
              <w:lang w:val="en-US" w:eastAsia="zh-CN"/>
            </w:rPr>
            <w:t>1、 基本原则</w:t>
          </w:r>
          <w:r>
            <w:tab/>
          </w:r>
          <w:r>
            <w:fldChar w:fldCharType="begin"/>
          </w:r>
          <w:r>
            <w:instrText xml:space="preserve"> PAGEREF _Toc3675 \h </w:instrText>
          </w:r>
          <w:r>
            <w:fldChar w:fldCharType="separate"/>
          </w:r>
          <w:r>
            <w:t>8</w:t>
          </w:r>
          <w:r>
            <w:fldChar w:fldCharType="end"/>
          </w:r>
          <w:r>
            <w:fldChar w:fldCharType="end"/>
          </w:r>
        </w:p>
        <w:p w14:paraId="68E75E9D">
          <w:pPr>
            <w:pStyle w:val="13"/>
            <w:tabs>
              <w:tab w:val="right" w:leader="dot" w:pos="8306"/>
            </w:tabs>
          </w:pPr>
          <w:r>
            <w:fldChar w:fldCharType="begin"/>
          </w:r>
          <w:r>
            <w:instrText xml:space="preserve"> HYPERLINK \l _Toc19036 </w:instrText>
          </w:r>
          <w:r>
            <w:fldChar w:fldCharType="separate"/>
          </w:r>
          <w:r>
            <w:rPr>
              <w:rFonts w:hint="eastAsia"/>
              <w:lang w:val="en-US" w:eastAsia="zh-CN"/>
            </w:rPr>
            <w:t>2、 评审程序</w:t>
          </w:r>
          <w:r>
            <w:tab/>
          </w:r>
          <w:r>
            <w:fldChar w:fldCharType="begin"/>
          </w:r>
          <w:r>
            <w:instrText xml:space="preserve"> PAGEREF _Toc19036 \h </w:instrText>
          </w:r>
          <w:r>
            <w:fldChar w:fldCharType="separate"/>
          </w:r>
          <w:r>
            <w:t>8</w:t>
          </w:r>
          <w:r>
            <w:fldChar w:fldCharType="end"/>
          </w:r>
          <w:r>
            <w:fldChar w:fldCharType="end"/>
          </w:r>
        </w:p>
        <w:p w14:paraId="1DE0F251">
          <w:pPr>
            <w:pStyle w:val="13"/>
            <w:tabs>
              <w:tab w:val="right" w:leader="dot" w:pos="8306"/>
            </w:tabs>
          </w:pPr>
          <w:r>
            <w:fldChar w:fldCharType="begin"/>
          </w:r>
          <w:r>
            <w:instrText xml:space="preserve"> HYPERLINK \l _Toc5960 </w:instrText>
          </w:r>
          <w:r>
            <w:fldChar w:fldCharType="separate"/>
          </w:r>
          <w:r>
            <w:rPr>
              <w:rFonts w:hint="eastAsia"/>
              <w:lang w:val="en-US" w:eastAsia="zh-CN"/>
            </w:rPr>
            <w:t>3、 评审办法</w:t>
          </w:r>
          <w:r>
            <w:tab/>
          </w:r>
          <w:r>
            <w:fldChar w:fldCharType="begin"/>
          </w:r>
          <w:r>
            <w:instrText xml:space="preserve"> PAGEREF _Toc5960 \h </w:instrText>
          </w:r>
          <w:r>
            <w:fldChar w:fldCharType="separate"/>
          </w:r>
          <w:r>
            <w:t>8</w:t>
          </w:r>
          <w:r>
            <w:fldChar w:fldCharType="end"/>
          </w:r>
          <w:r>
            <w:fldChar w:fldCharType="end"/>
          </w:r>
        </w:p>
        <w:p w14:paraId="7A45D59F">
          <w:pPr>
            <w:pStyle w:val="12"/>
            <w:tabs>
              <w:tab w:val="right" w:leader="dot" w:pos="8306"/>
            </w:tabs>
          </w:pPr>
          <w:r>
            <w:fldChar w:fldCharType="begin"/>
          </w:r>
          <w:r>
            <w:instrText xml:space="preserve"> HYPERLINK \l _Toc14696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_Toc14696 \h </w:instrText>
          </w:r>
          <w:r>
            <w:fldChar w:fldCharType="separate"/>
          </w:r>
          <w:r>
            <w:t>9</w:t>
          </w:r>
          <w:r>
            <w:fldChar w:fldCharType="end"/>
          </w:r>
          <w:r>
            <w:fldChar w:fldCharType="end"/>
          </w:r>
        </w:p>
        <w:p w14:paraId="5770A831">
          <w:pPr>
            <w:pStyle w:val="2"/>
          </w:pPr>
          <w:r>
            <w:fldChar w:fldCharType="end"/>
          </w:r>
        </w:p>
      </w:sdtContent>
    </w:sdt>
    <w:p w14:paraId="7AAD1423">
      <w:pPr>
        <w:pStyle w:val="2"/>
      </w:pPr>
    </w:p>
    <w:p w14:paraId="3BA32A86">
      <w:pPr>
        <w:pStyle w:val="2"/>
      </w:pPr>
    </w:p>
    <w:p w14:paraId="54D83131">
      <w:pPr>
        <w:pStyle w:val="4"/>
        <w:numPr>
          <w:ilvl w:val="0"/>
          <w:numId w:val="1"/>
        </w:numPr>
        <w:bidi w:val="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C46F29B">
      <w:pPr>
        <w:pStyle w:val="4"/>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9" w:name="_Toc6285"/>
      <w:r>
        <w:rPr>
          <w:rFonts w:hint="eastAsia"/>
          <w:lang w:val="en-US" w:eastAsia="zh-CN"/>
        </w:rPr>
        <w:t>选择公告</w:t>
      </w:r>
      <w:bookmarkEnd w:id="9"/>
    </w:p>
    <w:p w14:paraId="7472F7BD">
      <w:pPr>
        <w:bidi w:val="0"/>
        <w:rPr>
          <w:rFonts w:hint="eastAsia"/>
          <w:lang w:val="en-US" w:eastAsia="zh-CN"/>
        </w:rPr>
      </w:pPr>
      <w:r>
        <w:rPr>
          <w:rFonts w:hint="eastAsia"/>
          <w:lang w:val="en-US" w:eastAsia="zh-CN"/>
        </w:rPr>
        <w:t>因承建工程项目任务的需要，拟对</w:t>
      </w:r>
      <w:r>
        <w:rPr>
          <w:rFonts w:hint="eastAsia" w:ascii="Times New Roman" w:hAnsi="Times New Roman" w:eastAsia="宋体" w:cs="Times New Roman"/>
          <w:u w:val="single"/>
          <w:lang w:val="en-US" w:eastAsia="zh-CN"/>
        </w:rPr>
        <w:t>湖州南太湖新区市本级移交道路维修养护项目（2025-2027年度）</w:t>
      </w:r>
      <w:r>
        <w:rPr>
          <w:rFonts w:hint="eastAsia" w:cs="Times New Roman"/>
          <w:u w:val="single"/>
          <w:lang w:val="en-US" w:eastAsia="zh-CN"/>
        </w:rPr>
        <w:t>2025年度</w:t>
      </w:r>
      <w:r>
        <w:rPr>
          <w:rFonts w:hint="eastAsia" w:ascii="Times New Roman" w:hAnsi="Times New Roman" w:eastAsia="宋体" w:cs="Times New Roman"/>
          <w:u w:val="single"/>
          <w:lang w:val="en-US" w:eastAsia="zh-CN"/>
        </w:rPr>
        <w:t>沥青混合料</w:t>
      </w:r>
      <w:r>
        <w:rPr>
          <w:rFonts w:hint="eastAsia" w:cs="Times New Roman"/>
          <w:u w:val="single"/>
          <w:lang w:val="en-US" w:eastAsia="zh-CN"/>
        </w:rPr>
        <w:t>采购</w:t>
      </w:r>
      <w:r>
        <w:rPr>
          <w:rFonts w:hint="eastAsia" w:ascii="Times New Roman" w:hAnsi="Times New Roman" w:eastAsia="宋体" w:cs="Times New Roman"/>
          <w:u w:val="none"/>
          <w:lang w:val="en-US" w:eastAsia="zh-CN"/>
        </w:rPr>
        <w:t>合</w:t>
      </w:r>
      <w:r>
        <w:rPr>
          <w:rFonts w:hint="eastAsia"/>
          <w:u w:val="none"/>
          <w:lang w:val="en-US" w:eastAsia="zh-CN"/>
        </w:rPr>
        <w:t>作</w:t>
      </w:r>
      <w:r>
        <w:rPr>
          <w:rFonts w:hint="eastAsia"/>
          <w:lang w:val="en-US" w:eastAsia="zh-CN"/>
        </w:rPr>
        <w:t>单位进行公开选择。欢迎对本项目有兴趣、具备合格响应人资格的国内响应人参加此次合作单位的选择。</w:t>
      </w:r>
    </w:p>
    <w:p w14:paraId="49146C15">
      <w:pPr>
        <w:pStyle w:val="5"/>
        <w:numPr>
          <w:ilvl w:val="0"/>
          <w:numId w:val="2"/>
        </w:numPr>
        <w:bidi w:val="0"/>
        <w:rPr>
          <w:rFonts w:hint="eastAsia"/>
          <w:lang w:val="en-US" w:eastAsia="zh-CN"/>
        </w:rPr>
      </w:pPr>
      <w:bookmarkStart w:id="10" w:name="_Toc30113"/>
      <w:r>
        <w:rPr>
          <w:rFonts w:hint="eastAsia"/>
          <w:lang w:val="en-US" w:eastAsia="zh-CN"/>
        </w:rPr>
        <w:t>项目概况与选择范围</w:t>
      </w:r>
      <w:bookmarkEnd w:id="10"/>
    </w:p>
    <w:p w14:paraId="679B0EE1">
      <w:pPr>
        <w:pStyle w:val="6"/>
        <w:pageBreakBefore w:val="0"/>
        <w:kinsoku/>
        <w:overflowPunct/>
        <w:topLinePunct w:val="0"/>
        <w:autoSpaceDE/>
        <w:autoSpaceDN/>
        <w:bidi w:val="0"/>
        <w:adjustRightInd/>
        <w:snapToGrid/>
        <w:spacing w:line="400" w:lineRule="exact"/>
        <w:textAlignment w:val="auto"/>
        <w:rPr>
          <w:rFonts w:hint="default"/>
          <w:lang w:val="en-US" w:eastAsia="zh-CN"/>
        </w:rPr>
      </w:pPr>
      <w:bookmarkStart w:id="11" w:name="_Toc15805"/>
      <w:r>
        <w:rPr>
          <w:rFonts w:hint="eastAsia"/>
          <w:lang w:val="en-US" w:eastAsia="zh-CN"/>
        </w:rPr>
        <w:t>1.1</w:t>
      </w:r>
      <w:r>
        <w:rPr>
          <w:rFonts w:hint="default"/>
          <w:lang w:val="en-US" w:eastAsia="zh-CN"/>
        </w:rPr>
        <w:t>项目概况</w:t>
      </w:r>
    </w:p>
    <w:bookmarkEnd w:id="11"/>
    <w:p w14:paraId="261DBF3F">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湖州南太湖新区市本级移交道路维修养护项目（2025-2027年度）接养的路段主要有以下三处，共计11.272公里：</w:t>
      </w:r>
    </w:p>
    <w:p w14:paraId="111CF841">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1、县道X306鹿山至吴司宫平交口停止线前段（K0+000～K3+715），长3.715公里，位于康山街道。</w:t>
      </w:r>
    </w:p>
    <w:p w14:paraId="30862370">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2、县道X887苏家庄立交南堍至杭长桥北堍段（K0+000～K1+017），长1.017公里，位于凤凰街道。</w:t>
      </w:r>
    </w:p>
    <w:p w14:paraId="4E9449EB">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3、五一大桥北堍至鹿山立交北堍段（K3+110～K9+650）（含五一大桥和杭宁高速湖州南出口公路服务驿站、附属绿化及桥梁下部空间归属），长6.54公里，位于康山街道。</w:t>
      </w:r>
    </w:p>
    <w:p w14:paraId="6C2784F6">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主要管养事项</w:t>
      </w:r>
    </w:p>
    <w:p w14:paraId="4324D28B">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1、日常维修保养：对接养路段路基、路面、桥梁、公路附属设施等进行日常维修保养；</w:t>
      </w:r>
    </w:p>
    <w:p w14:paraId="76ADFE07">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2、养护工程：根据每年公路的技术状况评定结果，对路面病害严重的路段进行大中修；</w:t>
      </w:r>
    </w:p>
    <w:p w14:paraId="03D3CCCC">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3、应急处置：由管养单位负责落实防汛防台、低温雨雪等灾害天气应对工作，及时处理公路各项突发事件，做好应急抢险工作。</w:t>
      </w:r>
    </w:p>
    <w:p w14:paraId="168678FA">
      <w:pPr>
        <w:pStyle w:val="6"/>
        <w:pageBreakBefore w:val="0"/>
        <w:kinsoku/>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1.2选择范围</w:t>
      </w:r>
    </w:p>
    <w:p w14:paraId="6CA4C8D7">
      <w:pPr>
        <w:bidi w:val="0"/>
        <w:rPr>
          <w:rFonts w:hint="default"/>
          <w:highlight w:val="none"/>
          <w:lang w:val="en-US" w:eastAsia="zh-CN"/>
        </w:rPr>
      </w:pPr>
      <w:r>
        <w:rPr>
          <w:rFonts w:hint="eastAsia"/>
          <w:highlight w:val="none"/>
          <w:lang w:val="en-US" w:eastAsia="zh-CN"/>
        </w:rPr>
        <w:t>（1）选择范围：详细选择内容或要求见第三章工程量清单。</w:t>
      </w:r>
    </w:p>
    <w:p w14:paraId="165095DE">
      <w:pPr>
        <w:bidi w:val="0"/>
        <w:rPr>
          <w:rFonts w:hint="eastAsia"/>
          <w:lang w:val="en-US" w:eastAsia="zh-CN"/>
        </w:rPr>
      </w:pPr>
      <w:bookmarkStart w:id="12" w:name="_Toc25563"/>
      <w:r>
        <w:rPr>
          <w:rFonts w:hint="eastAsia"/>
          <w:lang w:val="en-US" w:eastAsia="zh-CN"/>
        </w:rPr>
        <w:t>（2）报价需知</w:t>
      </w:r>
      <w:r>
        <w:rPr>
          <w:rFonts w:hint="eastAsia"/>
          <w:highlight w:val="none"/>
          <w:lang w:val="en-US" w:eastAsia="zh-CN"/>
        </w:rPr>
        <w:t>：</w:t>
      </w:r>
      <w:r>
        <w:rPr>
          <w:rFonts w:hint="eastAsia" w:asciiTheme="minorEastAsia" w:hAnsiTheme="minorEastAsia" w:eastAsiaTheme="minorEastAsia" w:cstheme="minorEastAsia"/>
          <w:b w:val="0"/>
          <w:bCs w:val="0"/>
          <w:spacing w:val="-1"/>
          <w:kern w:val="2"/>
          <w:sz w:val="21"/>
          <w:szCs w:val="21"/>
          <w:highlight w:val="none"/>
          <w:lang w:val="en-US" w:eastAsia="zh-CN" w:bidi="ar-SA"/>
        </w:rPr>
        <w:t>所报的价格应包括材料成本、加工费、运输费、包装费、劳务费、装卸、仓储保管、试验检测（指产品出厂前按国家规定频率的试验检测）、取样、保险、利润、税金、政策性文件规定及合同包含的所有风险、责任等各项应有费用</w:t>
      </w:r>
      <w:r>
        <w:rPr>
          <w:rFonts w:hint="eastAsia" w:asciiTheme="minorEastAsia" w:hAnsiTheme="minorEastAsia" w:eastAsiaTheme="minorEastAsia" w:cstheme="minorEastAsia"/>
          <w:b w:val="0"/>
          <w:bCs w:val="0"/>
          <w:spacing w:val="-1"/>
          <w:kern w:val="2"/>
          <w:sz w:val="21"/>
          <w:szCs w:val="21"/>
          <w:lang w:val="en-US" w:eastAsia="zh-CN" w:bidi="ar-SA"/>
        </w:rPr>
        <w:t>。</w:t>
      </w:r>
    </w:p>
    <w:p w14:paraId="4712296A">
      <w:pPr>
        <w:keepNext w:val="0"/>
        <w:keepLines w:val="0"/>
        <w:widowControl w:val="0"/>
        <w:suppressLineNumbers w:val="0"/>
        <w:spacing w:before="0" w:beforeAutospacing="0" w:after="0" w:afterAutospacing="0"/>
        <w:ind w:left="0" w:right="0"/>
        <w:jc w:val="both"/>
        <w:rPr>
          <w:rFonts w:hint="default"/>
          <w:lang w:val="en-US" w:eastAsia="zh-CN"/>
        </w:rPr>
      </w:pPr>
      <w:r>
        <w:rPr>
          <w:rFonts w:hint="eastAsia"/>
          <w:lang w:val="en-US" w:eastAsia="zh-CN"/>
        </w:rPr>
        <w:t>（3）质量要求：</w:t>
      </w:r>
      <w:r>
        <w:rPr>
          <w:rFonts w:hint="eastAsia" w:ascii="宋体" w:hAnsi="宋体" w:eastAsia="宋体" w:cs="宋体"/>
          <w:color w:val="000000"/>
          <w:kern w:val="2"/>
          <w:sz w:val="21"/>
          <w:szCs w:val="21"/>
          <w:lang w:val="en-US" w:eastAsia="zh-CN" w:bidi="ar"/>
        </w:rPr>
        <w:t>材料质量应同时达到国家标准、行业标准、地方标准，且满足建设单位（业主方）施工设计（图纸、规范）及</w:t>
      </w:r>
      <w:bookmarkStart w:id="13" w:name="_Hlk126692586"/>
      <w:r>
        <w:rPr>
          <w:rFonts w:hint="eastAsia" w:ascii="宋体" w:hAnsi="宋体" w:eastAsia="宋体" w:cs="宋体"/>
          <w:color w:val="000000"/>
          <w:kern w:val="2"/>
          <w:sz w:val="21"/>
          <w:szCs w:val="21"/>
          <w:lang w:val="en-US" w:eastAsia="zh-CN" w:bidi="ar"/>
        </w:rPr>
        <w:t>国家现行相关技术规范</w:t>
      </w:r>
      <w:bookmarkEnd w:id="13"/>
      <w:r>
        <w:rPr>
          <w:rFonts w:hint="eastAsia" w:ascii="宋体" w:hAnsi="宋体" w:eastAsia="宋体" w:cs="宋体"/>
          <w:color w:val="000000"/>
          <w:kern w:val="2"/>
          <w:sz w:val="21"/>
          <w:szCs w:val="21"/>
          <w:lang w:val="en-US" w:eastAsia="zh-CN" w:bidi="ar"/>
        </w:rPr>
        <w:t>的各项技术要求</w:t>
      </w:r>
      <w:r>
        <w:rPr>
          <w:rFonts w:hint="eastAsia" w:asciiTheme="minorEastAsia" w:hAnsiTheme="minorEastAsia" w:eastAsiaTheme="minorEastAsia" w:cstheme="minorEastAsia"/>
          <w:b w:val="0"/>
          <w:bCs w:val="0"/>
          <w:spacing w:val="-1"/>
          <w:kern w:val="2"/>
          <w:sz w:val="21"/>
          <w:szCs w:val="21"/>
          <w:lang w:val="en-US" w:eastAsia="zh-CN" w:bidi="ar-SA"/>
        </w:rPr>
        <w:t>。</w:t>
      </w:r>
    </w:p>
    <w:p w14:paraId="026F65D3">
      <w:pPr>
        <w:pStyle w:val="5"/>
        <w:numPr>
          <w:ilvl w:val="0"/>
          <w:numId w:val="2"/>
        </w:numPr>
        <w:bidi w:val="0"/>
        <w:rPr>
          <w:rFonts w:hint="eastAsia"/>
          <w:highlight w:val="none"/>
          <w:lang w:val="en-US" w:eastAsia="zh-CN"/>
        </w:rPr>
      </w:pPr>
      <w:r>
        <w:rPr>
          <w:rFonts w:hint="eastAsia"/>
          <w:highlight w:val="none"/>
          <w:lang w:val="en-US" w:eastAsia="zh-CN"/>
        </w:rPr>
        <w:t>服务期限</w:t>
      </w:r>
      <w:bookmarkEnd w:id="12"/>
    </w:p>
    <w:p w14:paraId="2E9DAF8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 xml:space="preserve">暂定12个月。 </w:t>
      </w:r>
    </w:p>
    <w:p w14:paraId="44BB9283">
      <w:pPr>
        <w:pStyle w:val="5"/>
        <w:numPr>
          <w:ilvl w:val="0"/>
          <w:numId w:val="2"/>
        </w:numPr>
        <w:bidi w:val="0"/>
        <w:rPr>
          <w:rFonts w:hint="eastAsia"/>
          <w:highlight w:val="none"/>
          <w:lang w:val="en-US" w:eastAsia="zh-CN"/>
        </w:rPr>
      </w:pPr>
      <w:bookmarkStart w:id="14" w:name="_Toc9402"/>
      <w:r>
        <w:rPr>
          <w:rFonts w:hint="eastAsia"/>
          <w:highlight w:val="none"/>
          <w:lang w:val="en-US" w:eastAsia="zh-CN"/>
        </w:rPr>
        <w:t>服务地点</w:t>
      </w:r>
      <w:bookmarkEnd w:id="14"/>
    </w:p>
    <w:p w14:paraId="5A86B8B0">
      <w:pPr>
        <w:bidi w:val="0"/>
        <w:rPr>
          <w:rFonts w:hint="eastAsia"/>
          <w:lang w:val="en-US" w:eastAsia="zh-CN"/>
        </w:rPr>
      </w:pPr>
      <w:bookmarkStart w:id="15" w:name="_Toc11173"/>
      <w:r>
        <w:rPr>
          <w:rFonts w:hint="eastAsia"/>
          <w:lang w:val="en-US" w:eastAsia="zh-CN"/>
        </w:rPr>
        <w:t>以选择人通知的具体地点为准。</w:t>
      </w:r>
    </w:p>
    <w:p w14:paraId="39DC4993">
      <w:pPr>
        <w:pStyle w:val="5"/>
        <w:numPr>
          <w:ilvl w:val="0"/>
          <w:numId w:val="2"/>
        </w:numPr>
        <w:bidi w:val="0"/>
        <w:rPr>
          <w:rFonts w:hint="default"/>
          <w:highlight w:val="none"/>
          <w:lang w:val="en-US" w:eastAsia="zh-CN"/>
        </w:rPr>
      </w:pPr>
      <w:r>
        <w:rPr>
          <w:rFonts w:hint="eastAsia"/>
          <w:highlight w:val="none"/>
          <w:lang w:val="en-US" w:eastAsia="zh-CN"/>
        </w:rPr>
        <w:t>响应人资格条件</w:t>
      </w:r>
      <w:bookmarkEnd w:id="15"/>
    </w:p>
    <w:p w14:paraId="0D4255C8">
      <w:pPr>
        <w:bidi w:val="0"/>
        <w:rPr>
          <w:rFonts w:hint="default"/>
          <w:highlight w:val="none"/>
        </w:rPr>
      </w:pPr>
      <w:r>
        <w:rPr>
          <w:rFonts w:hint="default"/>
          <w:highlight w:val="none"/>
        </w:rPr>
        <w:t>（1）在中华人民共和国境内注册；</w:t>
      </w:r>
    </w:p>
    <w:p w14:paraId="1BF47469">
      <w:pPr>
        <w:bidi w:val="0"/>
        <w:rPr>
          <w:rFonts w:hint="default"/>
          <w:highlight w:val="none"/>
        </w:rPr>
      </w:pPr>
      <w:r>
        <w:rPr>
          <w:rFonts w:hint="default"/>
          <w:highlight w:val="none"/>
        </w:rPr>
        <w:t>（2）与选择人存在利害关系可能影响公正性的法人、其他组织或者个人不得参加本次选择活动；单位负责人为同一个人或存在控股、管理关系的不同单位不得参加同一项选择活动；</w:t>
      </w:r>
    </w:p>
    <w:p w14:paraId="144C85ED">
      <w:pPr>
        <w:bidi w:val="0"/>
        <w:rPr>
          <w:rFonts w:hint="default"/>
          <w:highlight w:val="none"/>
        </w:rPr>
      </w:pPr>
      <w:r>
        <w:rPr>
          <w:rFonts w:hint="default"/>
          <w:highlight w:val="none"/>
        </w:rPr>
        <w:t>（3）本次选择：不接受联合体参加，不允许分包；</w:t>
      </w:r>
    </w:p>
    <w:p w14:paraId="4188B440">
      <w:pPr>
        <w:bidi w:val="0"/>
        <w:rPr>
          <w:rFonts w:hint="default"/>
          <w:highlight w:val="none"/>
          <w:lang w:val="en-US" w:eastAsia="zh-CN"/>
        </w:rPr>
      </w:pPr>
      <w:r>
        <w:rPr>
          <w:rFonts w:hint="default"/>
          <w:highlight w:val="none"/>
        </w:rPr>
        <w:t>（4）</w:t>
      </w:r>
      <w:r>
        <w:rPr>
          <w:rFonts w:hint="eastAsia"/>
          <w:highlight w:val="none"/>
          <w:lang w:val="en-US" w:eastAsia="zh-CN"/>
        </w:rPr>
        <w:t>响应单位营业执照必须真实有效且在有效期内，具有相应的施工劳务资质。</w:t>
      </w:r>
    </w:p>
    <w:p w14:paraId="1097099C">
      <w:pPr>
        <w:pStyle w:val="5"/>
        <w:keepNext/>
        <w:keepLines/>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highlight w:val="none"/>
          <w:lang w:val="en-US" w:eastAsia="zh-CN"/>
        </w:rPr>
      </w:pPr>
      <w:bookmarkStart w:id="16" w:name="_Toc19590"/>
      <w:bookmarkStart w:id="17" w:name="_Toc13757"/>
      <w:bookmarkStart w:id="18" w:name="_Toc20735"/>
      <w:r>
        <w:rPr>
          <w:rFonts w:hint="eastAsia"/>
          <w:highlight w:val="none"/>
          <w:lang w:val="en-US" w:eastAsia="zh-CN"/>
        </w:rPr>
        <w:t>选择文件的获取</w:t>
      </w:r>
      <w:bookmarkEnd w:id="16"/>
      <w:bookmarkEnd w:id="17"/>
      <w:bookmarkEnd w:id="18"/>
    </w:p>
    <w:p w14:paraId="1E14C20E">
      <w:pPr>
        <w:bidi w:val="0"/>
        <w:rPr>
          <w:rFonts w:hint="eastAsia" w:eastAsia="宋体"/>
          <w:highlight w:val="none"/>
          <w:lang w:eastAsia="zh-CN"/>
        </w:rPr>
      </w:pPr>
      <w:r>
        <w:rPr>
          <w:rFonts w:hint="eastAsia"/>
          <w:highlight w:val="none"/>
        </w:rPr>
        <w:t>（1）本</w:t>
      </w:r>
      <w:r>
        <w:rPr>
          <w:rFonts w:hint="eastAsia"/>
          <w:highlight w:val="none"/>
          <w:lang w:val="en-US" w:eastAsia="zh-CN"/>
        </w:rPr>
        <w:t>次选择文件</w:t>
      </w:r>
      <w:r>
        <w:rPr>
          <w:rFonts w:hint="eastAsia"/>
          <w:highlight w:val="none"/>
        </w:rPr>
        <w:t xml:space="preserve"> (补充、澄清、修改文件) 以网</w:t>
      </w:r>
      <w:r>
        <w:rPr>
          <w:rFonts w:hint="eastAsia"/>
          <w:highlight w:val="none"/>
          <w:lang w:val="en-US" w:eastAsia="zh-CN"/>
        </w:rPr>
        <w:t>上</w:t>
      </w:r>
      <w:r>
        <w:rPr>
          <w:rFonts w:hint="eastAsia"/>
          <w:highlight w:val="none"/>
        </w:rPr>
        <w:t>下载方式发放</w:t>
      </w:r>
      <w:r>
        <w:rPr>
          <w:rFonts w:hint="eastAsia"/>
          <w:highlight w:val="none"/>
          <w:lang w:eastAsia="zh-CN"/>
        </w:rPr>
        <w:t>；</w:t>
      </w:r>
    </w:p>
    <w:p w14:paraId="243911CB">
      <w:pPr>
        <w:bidi w:val="0"/>
        <w:rPr>
          <w:rFonts w:hint="eastAsia" w:eastAsia="宋体"/>
          <w:highlight w:val="none"/>
          <w:lang w:eastAsia="zh-CN"/>
        </w:rPr>
      </w:pPr>
      <w:r>
        <w:rPr>
          <w:rFonts w:hint="eastAsia"/>
          <w:highlight w:val="none"/>
        </w:rPr>
        <w:t>（2）</w:t>
      </w:r>
      <w:r>
        <w:rPr>
          <w:rFonts w:hint="eastAsia"/>
          <w:highlight w:val="none"/>
          <w:lang w:val="en-US" w:eastAsia="zh-CN"/>
        </w:rPr>
        <w:t>选择</w:t>
      </w:r>
      <w:r>
        <w:rPr>
          <w:rFonts w:hint="eastAsia"/>
          <w:highlight w:val="none"/>
        </w:rPr>
        <w:t>文件网上下载时间：</w:t>
      </w:r>
      <w:r>
        <w:rPr>
          <w:rFonts w:hint="eastAsia"/>
          <w:highlight w:val="none"/>
          <w:lang w:val="en-US" w:eastAsia="zh-CN"/>
        </w:rPr>
        <w:t>响应文件递交截止时间前</w:t>
      </w:r>
      <w:r>
        <w:rPr>
          <w:rFonts w:hint="eastAsia"/>
          <w:highlight w:val="none"/>
          <w:lang w:eastAsia="zh-CN"/>
        </w:rPr>
        <w:t>；</w:t>
      </w:r>
    </w:p>
    <w:p w14:paraId="4DC07819">
      <w:pPr>
        <w:bidi w:val="0"/>
        <w:rPr>
          <w:rFonts w:hint="eastAsia"/>
          <w:highlight w:val="none"/>
          <w:lang w:eastAsia="zh-CN"/>
        </w:rPr>
      </w:pPr>
      <w:r>
        <w:rPr>
          <w:rFonts w:hint="eastAsia"/>
          <w:highlight w:val="none"/>
        </w:rPr>
        <w:t>（</w:t>
      </w:r>
      <w:r>
        <w:rPr>
          <w:rFonts w:hint="eastAsia"/>
          <w:highlight w:val="none"/>
          <w:lang w:val="en-US" w:eastAsia="zh-CN"/>
        </w:rPr>
        <w:t>3</w:t>
      </w:r>
      <w:r>
        <w:rPr>
          <w:rFonts w:hint="eastAsia"/>
          <w:highlight w:val="none"/>
        </w:rPr>
        <w:t>）澄清、补充、修改等更正补充公告请自行登录杭州</w:t>
      </w:r>
      <w:r>
        <w:rPr>
          <w:rFonts w:hint="eastAsia"/>
          <w:highlight w:val="none"/>
          <w:lang w:val="en-US" w:eastAsia="zh-CN"/>
        </w:rPr>
        <w:t>交通高等级公路养护</w:t>
      </w:r>
      <w:r>
        <w:rPr>
          <w:rFonts w:hint="eastAsia"/>
          <w:highlight w:val="none"/>
        </w:rPr>
        <w:t>有限公司门户网站进行下载，不再另行通知</w:t>
      </w:r>
      <w:r>
        <w:rPr>
          <w:rFonts w:hint="eastAsia"/>
          <w:highlight w:val="none"/>
          <w:lang w:eastAsia="zh-CN"/>
        </w:rPr>
        <w:t>，</w:t>
      </w:r>
      <w:r>
        <w:rPr>
          <w:rFonts w:hint="eastAsia"/>
          <w:highlight w:val="none"/>
          <w:lang w:val="en-US" w:eastAsia="zh-CN"/>
        </w:rPr>
        <w:t>响应人</w:t>
      </w:r>
      <w:r>
        <w:rPr>
          <w:rFonts w:hint="eastAsia"/>
          <w:highlight w:val="none"/>
          <w:lang w:eastAsia="zh-CN"/>
        </w:rPr>
        <w:t>因自身贻误行为导致报价失败的，责任自负。</w:t>
      </w:r>
    </w:p>
    <w:p w14:paraId="6F835DCF">
      <w:pPr>
        <w:pStyle w:val="2"/>
        <w:keepNext w:val="0"/>
        <w:keepLines w:val="0"/>
        <w:pageBreakBefore w:val="0"/>
        <w:widowControl w:val="0"/>
        <w:kinsoku/>
        <w:wordWrap/>
        <w:overflowPunct/>
        <w:topLinePunct w:val="0"/>
        <w:autoSpaceDE/>
        <w:autoSpaceDN/>
        <w:bidi w:val="0"/>
        <w:adjustRightInd/>
        <w:snapToGrid/>
        <w:spacing w:before="260" w:after="260" w:line="360" w:lineRule="auto"/>
        <w:ind w:left="0" w:leftChars="0" w:firstLine="0" w:firstLineChars="0"/>
        <w:textAlignment w:val="auto"/>
        <w:rPr>
          <w:rFonts w:hint="eastAsia" w:ascii="Times New Roman" w:hAnsi="Times New Roman" w:eastAsia="黑体" w:cs="Times New Roman"/>
          <w:b/>
          <w:kern w:val="2"/>
          <w:sz w:val="24"/>
          <w:szCs w:val="24"/>
          <w:highlight w:val="none"/>
          <w:lang w:val="en-US" w:eastAsia="zh-CN" w:bidi="ar-SA"/>
        </w:rPr>
      </w:pPr>
      <w:r>
        <w:rPr>
          <w:rFonts w:hint="eastAsia" w:ascii="Times New Roman" w:hAnsi="Times New Roman" w:eastAsia="黑体" w:cs="Times New Roman"/>
          <w:b/>
          <w:kern w:val="2"/>
          <w:sz w:val="24"/>
          <w:szCs w:val="24"/>
          <w:highlight w:val="none"/>
          <w:lang w:val="en-US" w:eastAsia="zh-CN" w:bidi="ar-SA"/>
        </w:rPr>
        <w:t>6、响应文件的递交</w:t>
      </w:r>
    </w:p>
    <w:p w14:paraId="0AB47172">
      <w:pPr>
        <w:bidi w:val="0"/>
        <w:rPr>
          <w:rFonts w:hint="eastAsia"/>
          <w:highlight w:val="none"/>
        </w:rPr>
      </w:pPr>
      <w:r>
        <w:rPr>
          <w:rFonts w:hint="eastAsia"/>
          <w:highlight w:val="none"/>
        </w:rPr>
        <w:t>（</w:t>
      </w:r>
      <w:r>
        <w:rPr>
          <w:rFonts w:hint="eastAsia"/>
          <w:highlight w:val="none"/>
          <w:lang w:val="en-US" w:eastAsia="zh-CN"/>
        </w:rPr>
        <w:t>1</w:t>
      </w:r>
      <w:r>
        <w:rPr>
          <w:rFonts w:hint="eastAsia"/>
          <w:highlight w:val="none"/>
        </w:rPr>
        <w:t>）</w:t>
      </w:r>
      <w:r>
        <w:rPr>
          <w:rFonts w:hint="eastAsia"/>
          <w:highlight w:val="none"/>
          <w:lang w:val="en-US" w:eastAsia="zh-CN"/>
        </w:rPr>
        <w:t>响应</w:t>
      </w:r>
      <w:r>
        <w:rPr>
          <w:rFonts w:hint="eastAsia"/>
          <w:highlight w:val="none"/>
        </w:rPr>
        <w:t>文件递交截止时间：</w:t>
      </w:r>
      <w:r>
        <w:rPr>
          <w:rFonts w:hint="eastAsia"/>
          <w:highlight w:val="none"/>
          <w:lang w:val="en-US" w:eastAsia="zh-CN"/>
        </w:rPr>
        <w:t xml:space="preserve"> 2025</w:t>
      </w:r>
      <w:r>
        <w:rPr>
          <w:rFonts w:hint="eastAsia"/>
          <w:highlight w:val="none"/>
        </w:rPr>
        <w:t>年</w:t>
      </w:r>
      <w:r>
        <w:rPr>
          <w:rFonts w:hint="eastAsia"/>
          <w:highlight w:val="none"/>
          <w:lang w:val="en-US" w:eastAsia="zh-CN"/>
        </w:rPr>
        <w:t xml:space="preserve"> 9</w:t>
      </w:r>
      <w:r>
        <w:rPr>
          <w:rFonts w:hint="eastAsia"/>
          <w:highlight w:val="none"/>
        </w:rPr>
        <w:t>月</w:t>
      </w:r>
      <w:r>
        <w:rPr>
          <w:rFonts w:hint="eastAsia"/>
          <w:highlight w:val="none"/>
          <w:lang w:val="en-US" w:eastAsia="zh-CN"/>
        </w:rPr>
        <w:t>2</w:t>
      </w:r>
      <w:r>
        <w:rPr>
          <w:rFonts w:hint="eastAsia"/>
          <w:highlight w:val="none"/>
        </w:rPr>
        <w:t>日</w:t>
      </w:r>
      <w:r>
        <w:rPr>
          <w:rFonts w:hint="eastAsia"/>
          <w:highlight w:val="none"/>
          <w:lang w:val="en-US" w:eastAsia="zh-CN"/>
        </w:rPr>
        <w:t xml:space="preserve"> 14：00；</w:t>
      </w:r>
    </w:p>
    <w:p w14:paraId="521D6DEA">
      <w:pPr>
        <w:keepNext w:val="0"/>
        <w:keepLines w:val="0"/>
        <w:pageBreakBefore w:val="0"/>
        <w:widowControl w:val="0"/>
        <w:kinsoku/>
        <w:wordWrap/>
        <w:overflowPunct/>
        <w:topLinePunct w:val="0"/>
        <w:autoSpaceDE/>
        <w:autoSpaceDN/>
        <w:bidi w:val="0"/>
        <w:adjustRightInd/>
        <w:snapToGrid/>
        <w:textAlignment w:val="auto"/>
        <w:rPr>
          <w:rFonts w:hint="eastAsia"/>
          <w:highlight w:val="none"/>
          <w:lang w:eastAsia="zh-CN"/>
        </w:rPr>
      </w:pPr>
      <w:r>
        <w:rPr>
          <w:rFonts w:hint="eastAsia"/>
          <w:highlight w:val="none"/>
        </w:rPr>
        <w:t>（</w:t>
      </w:r>
      <w:r>
        <w:rPr>
          <w:rFonts w:hint="eastAsia"/>
          <w:highlight w:val="none"/>
          <w:lang w:val="en-US" w:eastAsia="zh-CN"/>
        </w:rPr>
        <w:t>2</w:t>
      </w:r>
      <w:r>
        <w:rPr>
          <w:rFonts w:hint="eastAsia"/>
          <w:highlight w:val="none"/>
        </w:rPr>
        <w:t>）</w:t>
      </w:r>
      <w:r>
        <w:rPr>
          <w:rFonts w:hint="eastAsia"/>
          <w:highlight w:val="none"/>
          <w:lang w:val="en-US" w:eastAsia="zh-CN"/>
        </w:rPr>
        <w:t>响应</w:t>
      </w:r>
      <w:r>
        <w:rPr>
          <w:rFonts w:hint="eastAsia"/>
          <w:highlight w:val="none"/>
        </w:rPr>
        <w:t>文件递交地点：</w:t>
      </w:r>
      <w:r>
        <w:rPr>
          <w:rFonts w:hint="eastAsia"/>
          <w:highlight w:val="none"/>
          <w:lang w:val="en-US" w:eastAsia="zh-CN"/>
        </w:rPr>
        <w:t>杭州市西湖区双浦镇枫桦东路68号三楼东侧杭州交通高等级公路养护有限公司；</w:t>
      </w:r>
    </w:p>
    <w:p w14:paraId="59391D4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eastAsia="宋体"/>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逾期送达或未密封</w:t>
      </w:r>
      <w:r>
        <w:rPr>
          <w:rFonts w:hint="eastAsia"/>
          <w:highlight w:val="none"/>
          <w:lang w:val="en-US" w:eastAsia="zh-CN"/>
        </w:rPr>
        <w:t>应当</w:t>
      </w:r>
      <w:r>
        <w:rPr>
          <w:rFonts w:hint="eastAsia"/>
          <w:highlight w:val="none"/>
        </w:rPr>
        <w:t>予以拒收</w:t>
      </w:r>
      <w:r>
        <w:rPr>
          <w:rFonts w:hint="eastAsia"/>
          <w:highlight w:val="none"/>
          <w:lang w:eastAsia="zh-CN"/>
        </w:rPr>
        <w:t>；</w:t>
      </w:r>
    </w:p>
    <w:p w14:paraId="0D90AE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有关本项目的其它事宜，请与</w:t>
      </w:r>
      <w:r>
        <w:rPr>
          <w:rFonts w:hint="eastAsia"/>
          <w:highlight w:val="none"/>
          <w:lang w:val="en-US" w:eastAsia="zh-CN"/>
        </w:rPr>
        <w:t>选择</w:t>
      </w:r>
      <w:r>
        <w:rPr>
          <w:rFonts w:hint="eastAsia"/>
          <w:highlight w:val="none"/>
        </w:rPr>
        <w:t>人联系</w:t>
      </w:r>
      <w:r>
        <w:rPr>
          <w:rFonts w:hint="eastAsia"/>
          <w:highlight w:val="none"/>
          <w:lang w:eastAsia="zh-CN"/>
        </w:rPr>
        <w:t>。</w:t>
      </w:r>
    </w:p>
    <w:p w14:paraId="21A21F80">
      <w:pPr>
        <w:pStyle w:val="5"/>
        <w:bidi w:val="0"/>
        <w:rPr>
          <w:rFonts w:hint="eastAsia"/>
          <w:highlight w:val="none"/>
          <w:lang w:val="en-US" w:eastAsia="zh-CN"/>
        </w:rPr>
      </w:pPr>
      <w:bookmarkStart w:id="19" w:name="_Toc2206"/>
      <w:r>
        <w:rPr>
          <w:rFonts w:hint="eastAsia"/>
          <w:highlight w:val="none"/>
          <w:lang w:val="en-US" w:eastAsia="zh-CN"/>
        </w:rPr>
        <w:t>7、发布公告的媒介</w:t>
      </w:r>
      <w:bookmarkEnd w:id="19"/>
    </w:p>
    <w:p w14:paraId="15CB0F16">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highlight w:val="none"/>
          <w:lang w:val="en-US" w:eastAsia="zh-CN"/>
        </w:rPr>
      </w:pPr>
      <w:r>
        <w:rPr>
          <w:rFonts w:hint="eastAsia"/>
          <w:highlight w:val="none"/>
        </w:rPr>
        <w:t>本次</w:t>
      </w:r>
      <w:r>
        <w:rPr>
          <w:rFonts w:hint="eastAsia"/>
          <w:highlight w:val="none"/>
          <w:lang w:val="en-US" w:eastAsia="zh-CN"/>
        </w:rPr>
        <w:t>选择</w:t>
      </w:r>
      <w:r>
        <w:rPr>
          <w:rFonts w:hint="eastAsia"/>
          <w:highlight w:val="none"/>
        </w:rPr>
        <w:t>在</w:t>
      </w:r>
      <w:r>
        <w:rPr>
          <w:rFonts w:hint="eastAsia"/>
          <w:highlight w:val="none"/>
          <w:lang w:val="en-US" w:eastAsia="zh-CN"/>
        </w:rPr>
        <w:t>杭州交通高等级公路养护有限公司</w:t>
      </w:r>
      <w:r>
        <w:rPr>
          <w:rFonts w:hint="eastAsia"/>
          <w:highlight w:val="none"/>
        </w:rPr>
        <w:t>官网(http://www.hzjtgdj.com)上发布</w:t>
      </w:r>
      <w:r>
        <w:rPr>
          <w:rFonts w:hint="eastAsia"/>
          <w:highlight w:val="none"/>
          <w:lang w:eastAsia="zh-CN"/>
        </w:rPr>
        <w:t>。</w:t>
      </w:r>
    </w:p>
    <w:p w14:paraId="17A01C3F">
      <w:pPr>
        <w:pStyle w:val="5"/>
        <w:numPr>
          <w:ilvl w:val="0"/>
          <w:numId w:val="0"/>
        </w:numPr>
        <w:bidi w:val="0"/>
        <w:rPr>
          <w:rFonts w:hint="default"/>
          <w:highlight w:val="none"/>
          <w:lang w:val="en-US" w:eastAsia="zh-CN"/>
        </w:rPr>
      </w:pPr>
      <w:bookmarkStart w:id="20" w:name="_Toc4975"/>
      <w:r>
        <w:rPr>
          <w:rFonts w:hint="eastAsia"/>
          <w:highlight w:val="none"/>
          <w:lang w:val="en-US" w:eastAsia="zh-CN"/>
        </w:rPr>
        <w:t>8、联系方式</w:t>
      </w:r>
      <w:bookmarkEnd w:id="20"/>
    </w:p>
    <w:p w14:paraId="54141ABF">
      <w:pPr>
        <w:bidi w:val="0"/>
        <w:rPr>
          <w:rFonts w:hint="eastAsia"/>
          <w:highlight w:val="none"/>
        </w:rPr>
      </w:pPr>
      <w:r>
        <w:rPr>
          <w:rFonts w:hint="eastAsia"/>
          <w:highlight w:val="none"/>
          <w:lang w:val="en-US" w:eastAsia="zh-CN"/>
        </w:rPr>
        <w:t>选择人</w:t>
      </w:r>
      <w:r>
        <w:rPr>
          <w:rFonts w:hint="eastAsia"/>
          <w:highlight w:val="none"/>
        </w:rPr>
        <w:t>：</w:t>
      </w:r>
      <w:r>
        <w:rPr>
          <w:rFonts w:hint="eastAsia"/>
          <w:highlight w:val="none"/>
          <w:u w:val="single"/>
        </w:rPr>
        <w:t>杭州</w:t>
      </w:r>
      <w:r>
        <w:rPr>
          <w:rFonts w:hint="eastAsia"/>
          <w:highlight w:val="none"/>
          <w:u w:val="single"/>
          <w:lang w:val="en-US" w:eastAsia="zh-CN"/>
        </w:rPr>
        <w:t>交通高等级公路养护</w:t>
      </w:r>
      <w:r>
        <w:rPr>
          <w:rFonts w:hint="eastAsia"/>
          <w:highlight w:val="none"/>
          <w:u w:val="single"/>
        </w:rPr>
        <w:t>有限公司</w:t>
      </w:r>
    </w:p>
    <w:p w14:paraId="2569EC70">
      <w:pPr>
        <w:bidi w:val="0"/>
        <w:ind w:left="1260" w:leftChars="200" w:hanging="840" w:hangingChars="400"/>
        <w:jc w:val="both"/>
        <w:rPr>
          <w:rFonts w:hint="eastAsia"/>
          <w:highlight w:val="none"/>
          <w:u w:val="single"/>
          <w:lang w:val="en-US" w:eastAsia="zh-CN"/>
        </w:rPr>
      </w:pPr>
      <w:r>
        <w:rPr>
          <w:rFonts w:hint="eastAsia"/>
          <w:highlight w:val="none"/>
        </w:rPr>
        <w:t>地  址：</w:t>
      </w:r>
      <w:r>
        <w:rPr>
          <w:rFonts w:hint="eastAsia"/>
          <w:highlight w:val="none"/>
          <w:u w:val="single"/>
          <w:lang w:val="en-US" w:eastAsia="zh-CN"/>
        </w:rPr>
        <w:t>杭州市西湖区双浦镇枫桦东路68号三楼东侧杭州交通高等级公路养护有限公司</w:t>
      </w:r>
    </w:p>
    <w:p w14:paraId="6C617C00">
      <w:pPr>
        <w:bidi w:val="0"/>
        <w:rPr>
          <w:rFonts w:hint="eastAsia"/>
          <w:highlight w:val="none"/>
        </w:rPr>
      </w:pPr>
      <w:r>
        <w:rPr>
          <w:rFonts w:hint="eastAsia"/>
          <w:highlight w:val="none"/>
        </w:rPr>
        <w:t>联系人：</w:t>
      </w:r>
      <w:r>
        <w:rPr>
          <w:rFonts w:hint="eastAsia"/>
          <w:highlight w:val="none"/>
          <w:u w:val="single"/>
        </w:rPr>
        <w:t xml:space="preserve"> </w:t>
      </w:r>
      <w:r>
        <w:rPr>
          <w:rFonts w:hint="eastAsia"/>
          <w:highlight w:val="none"/>
          <w:u w:val="single"/>
          <w:lang w:val="en-US" w:eastAsia="zh-CN"/>
        </w:rPr>
        <w:t xml:space="preserve"> 凌 先 生   </w:t>
      </w:r>
      <w:r>
        <w:rPr>
          <w:rFonts w:hint="eastAsia"/>
          <w:highlight w:val="none"/>
        </w:rPr>
        <w:t xml:space="preserve"> </w:t>
      </w:r>
    </w:p>
    <w:p w14:paraId="1A4C7519">
      <w:pPr>
        <w:bidi w:val="0"/>
        <w:rPr>
          <w:rFonts w:hint="default"/>
          <w:highlight w:val="none"/>
          <w:lang w:val="en-US" w:eastAsia="zh-CN"/>
        </w:rPr>
      </w:pPr>
      <w:r>
        <w:rPr>
          <w:rFonts w:hint="eastAsia"/>
          <w:highlight w:val="none"/>
        </w:rPr>
        <w:t>电</w:t>
      </w:r>
      <w:r>
        <w:rPr>
          <w:rFonts w:hint="eastAsia"/>
          <w:highlight w:val="none"/>
          <w:lang w:val="en-US" w:eastAsia="zh-CN"/>
        </w:rPr>
        <w:t xml:space="preserve">  </w:t>
      </w:r>
      <w:r>
        <w:rPr>
          <w:rFonts w:hint="eastAsia"/>
          <w:highlight w:val="none"/>
        </w:rPr>
        <w:t>话：</w:t>
      </w:r>
      <w:r>
        <w:rPr>
          <w:rFonts w:hint="eastAsia"/>
          <w:highlight w:val="none"/>
          <w:u w:val="single"/>
          <w:lang w:val="en-US" w:eastAsia="zh-CN"/>
        </w:rPr>
        <w:t xml:space="preserve"> </w:t>
      </w:r>
      <w:r>
        <w:rPr>
          <w:rFonts w:hint="default"/>
          <w:highlight w:val="none"/>
          <w:u w:val="single"/>
          <w:lang w:val="en-US" w:eastAsia="zh-CN"/>
        </w:rPr>
        <w:t>0571-88136593</w:t>
      </w:r>
      <w:r>
        <w:rPr>
          <w:rFonts w:hint="eastAsia"/>
          <w:highlight w:val="none"/>
          <w:u w:val="single"/>
          <w:lang w:val="en-US" w:eastAsia="zh-CN"/>
        </w:rPr>
        <w:t xml:space="preserve"> </w:t>
      </w:r>
    </w:p>
    <w:p w14:paraId="007BDB37">
      <w:pPr>
        <w:pStyle w:val="2"/>
        <w:ind w:left="0" w:leftChars="0" w:firstLine="0" w:firstLineChars="0"/>
        <w:rPr>
          <w:rFonts w:hint="eastAsia"/>
          <w:highlight w:val="none"/>
          <w:lang w:val="en-US" w:eastAsia="zh-CN"/>
        </w:rPr>
      </w:pPr>
    </w:p>
    <w:p w14:paraId="72992183">
      <w:pPr>
        <w:pStyle w:val="2"/>
        <w:jc w:val="right"/>
        <w:rPr>
          <w:rFonts w:hint="eastAsia"/>
          <w:highlight w:val="none"/>
          <w:lang w:val="en-US" w:eastAsia="zh-CN"/>
        </w:rPr>
      </w:pPr>
      <w:r>
        <w:rPr>
          <w:rFonts w:hint="eastAsia"/>
          <w:highlight w:val="none"/>
          <w:lang w:val="en-US" w:eastAsia="zh-CN"/>
        </w:rPr>
        <w:t>杭州交通高等级公路养护有限公司</w:t>
      </w:r>
    </w:p>
    <w:p w14:paraId="39AE6E53">
      <w:pPr>
        <w:pStyle w:val="2"/>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highlight w:val="none"/>
          <w:lang w:val="en-US" w:eastAsia="zh-CN"/>
        </w:rPr>
        <w:t>2025年8月26日</w:t>
      </w:r>
    </w:p>
    <w:p w14:paraId="4F30AFF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1" w:name="_Toc21189"/>
      <w:r>
        <w:rPr>
          <w:rFonts w:hint="eastAsia"/>
        </w:rPr>
        <w:t xml:space="preserve"> </w:t>
      </w:r>
      <w:bookmarkStart w:id="22" w:name="_Toc9165"/>
      <w:r>
        <w:rPr>
          <w:rFonts w:hint="eastAsia"/>
          <w:lang w:val="en-US" w:eastAsia="zh-CN"/>
        </w:rPr>
        <w:t>响应人须知</w:t>
      </w:r>
      <w:bookmarkEnd w:id="21"/>
      <w:bookmarkEnd w:id="22"/>
    </w:p>
    <w:tbl>
      <w:tblPr>
        <w:tblStyle w:val="16"/>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304D66D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33902D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79C75C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856F698">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4A6D8E5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6356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45C5252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399B8BE">
            <w:pPr>
              <w:pStyle w:val="25"/>
              <w:keepNext w:val="0"/>
              <w:keepLines w:val="0"/>
              <w:suppressLineNumbers w:val="0"/>
              <w:bidi w:val="0"/>
              <w:spacing w:before="0" w:beforeAutospacing="0" w:after="0" w:afterAutospacing="0"/>
              <w:ind w:left="0" w:right="0"/>
              <w:jc w:val="center"/>
              <w:rPr>
                <w:rFonts w:hint="default" w:asciiTheme="minorEastAsia" w:hAnsiTheme="minorEastAsia" w:eastAsiaTheme="minorEastAsia" w:cstheme="minorEastAsia"/>
                <w:snapToGrid w:val="0"/>
                <w:kern w:val="0"/>
                <w:szCs w:val="21"/>
                <w:lang w:val="en-US"/>
              </w:rPr>
            </w:pPr>
            <w:r>
              <w:rPr>
                <w:rFonts w:hint="eastAsia" w:ascii="Times New Roman" w:hAnsi="Times New Roman" w:eastAsia="宋体" w:cs="Times New Roman"/>
                <w:lang w:val="en-US" w:eastAsia="zh-CN"/>
              </w:rPr>
              <w:t>湖州南太湖新区市本级移交道路维修养护项目（2025-2027年度）</w:t>
            </w:r>
            <w:r>
              <w:rPr>
                <w:rFonts w:hint="eastAsia" w:cs="Times New Roman"/>
                <w:lang w:val="en-US" w:eastAsia="zh-CN"/>
              </w:rPr>
              <w:t>2025年度沥青混合料采购</w:t>
            </w:r>
          </w:p>
        </w:tc>
      </w:tr>
      <w:tr w14:paraId="61C5DD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790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6DA47B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41BD9471">
            <w:pPr>
              <w:pStyle w:val="25"/>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浙江省湖州市</w:t>
            </w:r>
          </w:p>
        </w:tc>
      </w:tr>
      <w:tr w14:paraId="1CE55309">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CB5F0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EEAE9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7CA24AEA">
            <w:pPr>
              <w:pStyle w:val="25"/>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A5FBEC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7332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D9A2C0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4BB593A">
            <w:pPr>
              <w:pStyle w:val="25"/>
              <w:keepNext w:val="0"/>
              <w:keepLines w:val="0"/>
              <w:suppressLineNumbers w:val="0"/>
              <w:bidi w:val="0"/>
              <w:spacing w:before="0" w:beforeAutospacing="0" w:after="0" w:afterAutospacing="0"/>
              <w:ind w:left="0" w:right="0"/>
              <w:jc w:val="center"/>
              <w:rPr>
                <w:rFonts w:hint="eastAsia"/>
                <w:lang w:val="en-US" w:eastAsia="zh-CN"/>
              </w:rPr>
            </w:pPr>
            <w:r>
              <w:rPr>
                <w:rFonts w:hint="eastAsia"/>
              </w:rPr>
              <w:sym w:font="Wingdings" w:char="00FE"/>
            </w:r>
            <w:r>
              <w:rPr>
                <w:rFonts w:hint="eastAsia"/>
              </w:rPr>
              <w:t>公开</w:t>
            </w:r>
            <w:r>
              <w:rPr>
                <w:rFonts w:hint="eastAsia"/>
                <w:lang w:val="en-US" w:eastAsia="zh-CN"/>
              </w:rPr>
              <w:t xml:space="preserve">选择     </w:t>
            </w:r>
            <w:r>
              <w:rPr>
                <w:rFonts w:hint="eastAsia"/>
              </w:rPr>
              <w:sym w:font="Wingdings" w:char="00A8"/>
            </w:r>
            <w:r>
              <w:rPr>
                <w:rFonts w:hint="eastAsia"/>
                <w:lang w:val="en-US" w:eastAsia="zh-CN"/>
              </w:rPr>
              <w:t>邀请选择</w:t>
            </w:r>
          </w:p>
        </w:tc>
      </w:tr>
      <w:tr w14:paraId="5DC88D4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25D10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2D0CEC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C8DBDBF">
            <w:pPr>
              <w:pStyle w:val="25"/>
              <w:keepNext w:val="0"/>
              <w:keepLines w:val="0"/>
              <w:suppressLineNumbers w:val="0"/>
              <w:bidi w:val="0"/>
              <w:spacing w:before="0" w:beforeAutospacing="0" w:after="0" w:afterAutospacing="0"/>
              <w:ind w:left="0" w:right="0"/>
              <w:jc w:val="center"/>
              <w:rPr>
                <w:rFonts w:hint="eastAsia"/>
              </w:rPr>
            </w:pPr>
            <w:r>
              <w:rPr>
                <w:rFonts w:hint="eastAsia"/>
              </w:rPr>
              <w:sym w:font="Wingdings" w:char="00FE"/>
            </w:r>
            <w:r>
              <w:rPr>
                <w:rFonts w:hint="eastAsia"/>
              </w:rPr>
              <w:t>资格后审</w:t>
            </w:r>
          </w:p>
        </w:tc>
      </w:tr>
      <w:tr w14:paraId="4D7E0A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59D2CA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33F432C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0DC9FDD">
            <w:pPr>
              <w:pStyle w:val="25"/>
              <w:keepNext w:val="0"/>
              <w:keepLines w:val="0"/>
              <w:suppressLineNumbers w:val="0"/>
              <w:bidi w:val="0"/>
              <w:spacing w:before="0" w:beforeAutospacing="0" w:after="0" w:afterAutospacing="0"/>
              <w:ind w:left="0" w:right="0"/>
              <w:jc w:val="center"/>
              <w:rPr>
                <w:rFonts w:hint="eastAsia"/>
                <w:lang w:val="zh-CN"/>
              </w:rPr>
            </w:pPr>
            <w:r>
              <w:rPr>
                <w:rFonts w:hint="eastAsia"/>
                <w:lang w:val="en-US" w:eastAsia="zh-CN"/>
              </w:rPr>
              <w:t>详见 第一章 选择公告</w:t>
            </w:r>
          </w:p>
        </w:tc>
      </w:tr>
      <w:tr w14:paraId="18CFF65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28F53C3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AF3E43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0D9A91C8">
            <w:pPr>
              <w:pStyle w:val="25"/>
              <w:keepNext w:val="0"/>
              <w:keepLines w:val="0"/>
              <w:suppressLineNumbers w:val="0"/>
              <w:bidi w:val="0"/>
              <w:spacing w:before="0" w:beforeAutospacing="0" w:after="0" w:afterAutospacing="0"/>
              <w:ind w:left="0" w:right="0"/>
              <w:jc w:val="center"/>
              <w:rPr>
                <w:rFonts w:hint="eastAsia"/>
              </w:rPr>
            </w:pPr>
            <w:r>
              <w:rPr>
                <w:rFonts w:hint="eastAsia"/>
              </w:rPr>
              <w:t>满足</w:t>
            </w:r>
            <w:r>
              <w:rPr>
                <w:rFonts w:hint="eastAsia"/>
                <w:lang w:val="en-US" w:eastAsia="zh-CN"/>
              </w:rPr>
              <w:t>选择人</w:t>
            </w:r>
            <w:r>
              <w:rPr>
                <w:rFonts w:hint="eastAsia"/>
              </w:rPr>
              <w:t>要求</w:t>
            </w:r>
          </w:p>
        </w:tc>
      </w:tr>
      <w:tr w14:paraId="0AE02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BAAE68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68B1DC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51FAF40A">
            <w:pPr>
              <w:pStyle w:val="25"/>
              <w:keepNext w:val="0"/>
              <w:keepLines w:val="0"/>
              <w:suppressLineNumbers w:val="0"/>
              <w:bidi w:val="0"/>
              <w:spacing w:before="0" w:beforeAutospacing="0" w:after="0" w:afterAutospacing="0"/>
              <w:ind w:left="0" w:right="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210D2BF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5E0A4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503699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5B9F0308">
            <w:pPr>
              <w:pStyle w:val="25"/>
              <w:keepNext w:val="0"/>
              <w:keepLines w:val="0"/>
              <w:suppressLineNumbers w:val="0"/>
              <w:bidi w:val="0"/>
              <w:spacing w:before="0" w:beforeAutospacing="0" w:after="0" w:afterAutospacing="0"/>
              <w:ind w:left="0" w:right="0"/>
              <w:jc w:val="center"/>
              <w:rPr>
                <w:rFonts w:hint="eastAsia"/>
                <w:b/>
                <w:bCs/>
              </w:rPr>
            </w:pPr>
            <w:r>
              <w:rPr>
                <w:rFonts w:hint="eastAsia"/>
                <w:b/>
                <w:bCs/>
              </w:rPr>
              <w:t>正本一份，</w:t>
            </w:r>
            <w:r>
              <w:rPr>
                <w:rFonts w:hint="eastAsia"/>
                <w:b/>
                <w:bCs/>
                <w:lang w:val="en-US" w:eastAsia="zh-CN"/>
              </w:rPr>
              <w:t>可附</w:t>
            </w:r>
            <w:r>
              <w:rPr>
                <w:rFonts w:hint="eastAsia"/>
                <w:b/>
                <w:bCs/>
              </w:rPr>
              <w:t>副本。</w:t>
            </w:r>
          </w:p>
        </w:tc>
      </w:tr>
      <w:tr w14:paraId="31F348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6C67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7B22D3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7567E49C">
            <w:pPr>
              <w:pStyle w:val="25"/>
              <w:keepNext w:val="0"/>
              <w:keepLines w:val="0"/>
              <w:suppressLineNumbers w:val="0"/>
              <w:bidi w:val="0"/>
              <w:spacing w:before="0" w:beforeAutospacing="0" w:after="0" w:afterAutospacing="0"/>
              <w:ind w:left="0" w:right="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148A50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A776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1F3456F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E6C2A5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选择人：杭州交通高等级公路养护有限公司</w:t>
            </w:r>
          </w:p>
          <w:p w14:paraId="5DE7D455">
            <w:pPr>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选择名称：</w:t>
            </w:r>
            <w:r>
              <w:rPr>
                <w:rFonts w:hint="eastAsia" w:ascii="Times New Roman" w:hAnsi="Times New Roman" w:eastAsia="宋体" w:cs="Times New Roman"/>
                <w:lang w:val="en-US" w:eastAsia="zh-CN"/>
              </w:rPr>
              <w:t>湖州南太湖新区市本级移交道路维修养护项目（2025-2027年度）</w:t>
            </w:r>
            <w:r>
              <w:rPr>
                <w:rFonts w:hint="eastAsia" w:cs="Times New Roman"/>
                <w:lang w:val="en-US" w:eastAsia="zh-CN"/>
              </w:rPr>
              <w:t>2025年度</w:t>
            </w:r>
            <w:r>
              <w:rPr>
                <w:rFonts w:hint="eastAsia"/>
                <w:lang w:val="en-US" w:eastAsia="zh-CN"/>
              </w:rPr>
              <w:t>沥青混合料采购</w:t>
            </w:r>
          </w:p>
          <w:p w14:paraId="13A2A6CB">
            <w:pPr>
              <w:keepNext w:val="0"/>
              <w:keepLines w:val="0"/>
              <w:suppressLineNumbers w:val="0"/>
              <w:bidi w:val="0"/>
              <w:spacing w:before="0" w:beforeAutospacing="0" w:after="0" w:afterAutospacing="0"/>
              <w:ind w:left="0" w:right="0"/>
              <w:rPr>
                <w:rFonts w:hint="eastAsia"/>
              </w:rPr>
            </w:pPr>
            <w:r>
              <w:rPr>
                <w:rFonts w:hint="eastAsia"/>
                <w:lang w:val="en-US" w:eastAsia="zh-CN"/>
              </w:rPr>
              <w:t>选择</w:t>
            </w:r>
            <w:r>
              <w:rPr>
                <w:rFonts w:hint="eastAsia"/>
              </w:rPr>
              <w:t>人地址：杭州市西湖区双浦镇枫桦东路68号</w:t>
            </w:r>
          </w:p>
          <w:p w14:paraId="1F47C2FB">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snapToGrid w:val="0"/>
                <w:kern w:val="0"/>
                <w:szCs w:val="21"/>
              </w:rPr>
            </w:pPr>
            <w:r>
              <w:rPr>
                <w:rFonts w:hint="eastAsia"/>
                <w:color w:val="auto"/>
                <w:highlight w:val="none"/>
              </w:rPr>
              <w:t xml:space="preserve">在 </w:t>
            </w:r>
            <w:r>
              <w:rPr>
                <w:rFonts w:hint="default"/>
                <w:color w:val="auto"/>
                <w:highlight w:val="none"/>
                <w:lang w:val="en-US" w:eastAsia="zh-CN"/>
              </w:rPr>
              <w:t>202</w:t>
            </w:r>
            <w:r>
              <w:rPr>
                <w:rFonts w:hint="eastAsia"/>
                <w:color w:val="auto"/>
                <w:highlight w:val="none"/>
                <w:lang w:val="en-US" w:eastAsia="zh-CN"/>
              </w:rPr>
              <w:t>5</w:t>
            </w:r>
            <w:r>
              <w:rPr>
                <w:rFonts w:hint="default"/>
                <w:color w:val="auto"/>
                <w:highlight w:val="none"/>
              </w:rPr>
              <w:t xml:space="preserve"> 年</w:t>
            </w:r>
            <w:r>
              <w:rPr>
                <w:rFonts w:hint="default"/>
                <w:color w:val="auto"/>
                <w:highlight w:val="none"/>
                <w:lang w:val="en-US" w:eastAsia="zh-CN"/>
              </w:rPr>
              <w:t xml:space="preserve"> </w:t>
            </w:r>
            <w:r>
              <w:rPr>
                <w:rFonts w:hint="eastAsia"/>
                <w:color w:val="auto"/>
                <w:highlight w:val="none"/>
                <w:lang w:val="en-US" w:eastAsia="zh-CN"/>
              </w:rPr>
              <w:t>9</w:t>
            </w:r>
            <w:r>
              <w:rPr>
                <w:rFonts w:hint="default"/>
                <w:color w:val="auto"/>
                <w:highlight w:val="none"/>
              </w:rPr>
              <w:t>月</w:t>
            </w:r>
            <w:r>
              <w:rPr>
                <w:rFonts w:hint="eastAsia"/>
                <w:color w:val="auto"/>
                <w:highlight w:val="none"/>
                <w:lang w:val="en-US" w:eastAsia="zh-CN"/>
              </w:rPr>
              <w:t>2</w:t>
            </w:r>
            <w:bookmarkStart w:id="36" w:name="_GoBack"/>
            <w:bookmarkEnd w:id="36"/>
            <w:r>
              <w:rPr>
                <w:rFonts w:hint="default"/>
                <w:color w:val="auto"/>
                <w:highlight w:val="none"/>
              </w:rPr>
              <w:t>日</w:t>
            </w:r>
            <w:r>
              <w:rPr>
                <w:rFonts w:hint="default"/>
                <w:color w:val="auto"/>
                <w:highlight w:val="none"/>
                <w:lang w:val="en-US" w:eastAsia="zh-CN"/>
              </w:rPr>
              <w:t xml:space="preserve"> </w:t>
            </w:r>
            <w:r>
              <w:rPr>
                <w:rFonts w:hint="eastAsia"/>
                <w:color w:val="auto"/>
                <w:highlight w:val="none"/>
                <w:lang w:val="en-US" w:eastAsia="zh-CN"/>
              </w:rPr>
              <w:t>14</w:t>
            </w:r>
            <w:r>
              <w:rPr>
                <w:rFonts w:hint="default"/>
                <w:color w:val="auto"/>
                <w:highlight w:val="none"/>
                <w:lang w:val="en-US" w:eastAsia="zh-CN"/>
              </w:rPr>
              <w:t xml:space="preserve"> </w:t>
            </w:r>
            <w:r>
              <w:rPr>
                <w:rFonts w:hint="default"/>
                <w:color w:val="auto"/>
                <w:highlight w:val="none"/>
                <w:lang w:eastAsia="zh-CN"/>
              </w:rPr>
              <w:t>：</w:t>
            </w:r>
            <w:r>
              <w:rPr>
                <w:rFonts w:hint="eastAsia"/>
                <w:color w:val="auto"/>
                <w:highlight w:val="none"/>
                <w:lang w:val="en-US" w:eastAsia="zh-CN"/>
              </w:rPr>
              <w:t>00</w:t>
            </w:r>
            <w:r>
              <w:rPr>
                <w:rFonts w:hint="eastAsia"/>
              </w:rPr>
              <w:t>（即开</w:t>
            </w:r>
            <w:r>
              <w:rPr>
                <w:rFonts w:hint="eastAsia"/>
                <w:lang w:val="en-US" w:eastAsia="zh-CN"/>
              </w:rPr>
              <w:t>启</w:t>
            </w:r>
            <w:r>
              <w:rPr>
                <w:rFonts w:hint="eastAsia"/>
              </w:rPr>
              <w:t>时间）前不得开启</w:t>
            </w:r>
          </w:p>
        </w:tc>
      </w:tr>
      <w:tr w14:paraId="72EC11D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C5B4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4240BE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C6337F8">
            <w:pPr>
              <w:pStyle w:val="25"/>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见选择公告</w:t>
            </w:r>
          </w:p>
        </w:tc>
      </w:tr>
      <w:tr w14:paraId="0926612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9F18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65F00CB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04AAA1E1">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纸质响应文件逾期送达、未送达指定地点或未按要求密封的。</w:t>
            </w:r>
          </w:p>
        </w:tc>
      </w:tr>
      <w:tr w14:paraId="525DA85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781B4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17065B0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9CEC28">
            <w:pPr>
              <w:pStyle w:val="25"/>
              <w:keepNext w:val="0"/>
              <w:keepLines w:val="0"/>
              <w:suppressLineNumbers w:val="0"/>
              <w:bidi w:val="0"/>
              <w:spacing w:before="0" w:beforeAutospacing="0" w:after="0" w:afterAutospacing="0"/>
              <w:ind w:left="0" w:right="0"/>
              <w:jc w:val="center"/>
              <w:rPr>
                <w:rFonts w:hint="eastAsia"/>
              </w:rPr>
            </w:pPr>
            <w:r>
              <w:rPr>
                <w:rFonts w:hint="eastAsia"/>
              </w:rPr>
              <w:sym w:font="Wingdings" w:char="F0FE"/>
            </w:r>
            <w:r>
              <w:rPr>
                <w:rFonts w:hint="eastAsia"/>
              </w:rPr>
              <w:t>否</w:t>
            </w:r>
            <w:r>
              <w:rPr>
                <w:rFonts w:hint="eastAsia"/>
                <w:lang w:val="en-US" w:eastAsia="zh-CN"/>
              </w:rPr>
              <w:t xml:space="preserve">         </w:t>
            </w:r>
            <w:r>
              <w:rPr>
                <w:rFonts w:hint="eastAsia"/>
              </w:rPr>
              <w:t>□是</w:t>
            </w:r>
          </w:p>
        </w:tc>
      </w:tr>
      <w:tr w14:paraId="6BD8437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935719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1FEE78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4EA77F4D">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002BBF0A">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50BB188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60EF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769CBE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133BD8C2">
            <w:pPr>
              <w:keepNext w:val="0"/>
              <w:keepLines w:val="0"/>
              <w:suppressLineNumbers w:val="0"/>
              <w:bidi w:val="0"/>
              <w:spacing w:before="0" w:beforeAutospacing="0" w:after="0" w:afterAutospacing="0"/>
              <w:ind w:left="0" w:right="0"/>
              <w:rPr>
                <w:rFonts w:hint="eastAsia"/>
              </w:rPr>
            </w:pPr>
            <w:r>
              <w:rPr>
                <w:rFonts w:hint="eastAsia"/>
              </w:rPr>
              <w:t>如法定代表人参加的，必须随带本人身份证原件；如委托代理人参加的，必须随带本人身份证原件、授权委托书原件。</w:t>
            </w:r>
          </w:p>
        </w:tc>
      </w:tr>
      <w:tr w14:paraId="0B8311F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485A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104965D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1BA2491C">
            <w:pPr>
              <w:keepNext w:val="0"/>
              <w:keepLines w:val="0"/>
              <w:suppressLineNumbers w:val="0"/>
              <w:bidi w:val="0"/>
              <w:spacing w:before="0" w:beforeAutospacing="0" w:after="0" w:afterAutospacing="0"/>
              <w:ind w:left="0" w:right="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71CAC74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514AB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06B3B1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5D71D29D">
            <w:pPr>
              <w:keepNext w:val="0"/>
              <w:keepLines w:val="0"/>
              <w:suppressLineNumbers w:val="0"/>
              <w:bidi w:val="0"/>
              <w:spacing w:before="0" w:beforeAutospacing="0" w:after="0" w:afterAutospacing="0"/>
              <w:ind w:left="0" w:right="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32A3CA3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011D39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19</w:t>
            </w:r>
          </w:p>
        </w:tc>
        <w:tc>
          <w:tcPr>
            <w:tcW w:w="2116" w:type="dxa"/>
            <w:noWrap w:val="0"/>
            <w:vAlign w:val="center"/>
          </w:tcPr>
          <w:p w14:paraId="6FC74F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BD568E8">
            <w:pPr>
              <w:keepNext w:val="0"/>
              <w:keepLines w:val="0"/>
              <w:suppressLineNumbers w:val="0"/>
              <w:bidi w:val="0"/>
              <w:spacing w:before="0" w:beforeAutospacing="0" w:after="0" w:afterAutospacing="0"/>
              <w:ind w:left="0" w:right="0"/>
              <w:rPr>
                <w:rFonts w:hint="eastAsia"/>
              </w:rPr>
            </w:pPr>
            <w:r>
              <w:rPr>
                <w:rFonts w:hint="eastAsia"/>
              </w:rPr>
              <w:t>公示媒介：杭州交通高等级公路养护有限公司(http://www.hzjtgdj.com)</w:t>
            </w:r>
          </w:p>
          <w:p w14:paraId="5EE6D40C">
            <w:pPr>
              <w:keepNext w:val="0"/>
              <w:keepLines w:val="0"/>
              <w:suppressLineNumbers w:val="0"/>
              <w:bidi w:val="0"/>
              <w:spacing w:before="0" w:beforeAutospacing="0" w:after="0" w:afterAutospacing="0"/>
              <w:ind w:left="0" w:right="0"/>
              <w:rPr>
                <w:rFonts w:hint="eastAsia"/>
              </w:rPr>
            </w:pPr>
            <w:r>
              <w:rPr>
                <w:rFonts w:hint="eastAsia"/>
              </w:rPr>
              <w:t>公示信息：</w:t>
            </w:r>
            <w:r>
              <w:rPr>
                <w:rFonts w:hint="eastAsia"/>
                <w:lang w:val="en-US" w:eastAsia="zh-CN"/>
              </w:rPr>
              <w:t>中选</w:t>
            </w:r>
            <w:r>
              <w:rPr>
                <w:rFonts w:hint="eastAsia"/>
              </w:rPr>
              <w:t>项目名称，拟中选单位名称、中选价等。</w:t>
            </w:r>
          </w:p>
          <w:p w14:paraId="2C3F4A99">
            <w:pPr>
              <w:keepNext w:val="0"/>
              <w:keepLines w:val="0"/>
              <w:suppressLineNumbers w:val="0"/>
              <w:bidi w:val="0"/>
              <w:spacing w:before="0" w:beforeAutospacing="0" w:after="0" w:afterAutospacing="0"/>
              <w:ind w:left="0" w:right="0"/>
              <w:rPr>
                <w:rFonts w:hint="default"/>
              </w:rPr>
            </w:pPr>
            <w:r>
              <w:rPr>
                <w:rFonts w:hint="eastAsia"/>
              </w:rPr>
              <w:t>公示期：3天。</w:t>
            </w:r>
          </w:p>
        </w:tc>
      </w:tr>
      <w:tr w14:paraId="1C4C309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FD33A4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20</w:t>
            </w:r>
          </w:p>
        </w:tc>
        <w:tc>
          <w:tcPr>
            <w:tcW w:w="2116" w:type="dxa"/>
            <w:noWrap w:val="0"/>
            <w:vAlign w:val="center"/>
          </w:tcPr>
          <w:p w14:paraId="45411E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1E7C8F29">
            <w:pPr>
              <w:keepNext w:val="0"/>
              <w:keepLines w:val="0"/>
              <w:suppressLineNumbers w:val="0"/>
              <w:bidi w:val="0"/>
              <w:spacing w:before="0" w:beforeAutospacing="0" w:after="0" w:afterAutospacing="0"/>
              <w:ind w:left="0" w:right="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3CDBA66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5E9129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1</w:t>
            </w:r>
          </w:p>
        </w:tc>
        <w:tc>
          <w:tcPr>
            <w:tcW w:w="2116" w:type="dxa"/>
            <w:noWrap w:val="0"/>
            <w:vAlign w:val="center"/>
          </w:tcPr>
          <w:p w14:paraId="0BC7DBB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2481749B">
            <w:pPr>
              <w:pStyle w:val="2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1、异议</w:t>
            </w:r>
          </w:p>
          <w:p w14:paraId="5FBC5BA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101085D6">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086EF3F2">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79E4D290">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B2A9B8F">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75DA7306">
            <w:pPr>
              <w:pStyle w:val="2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2、投诉</w:t>
            </w:r>
          </w:p>
          <w:p w14:paraId="34B2E5C7">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304820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B114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default" w:ascii="Times New Roman" w:hAnsi="Times New Roman" w:cs="Times New Roman" w:eastAsiaTheme="minorEastAsia"/>
                <w:b w:val="0"/>
                <w:bCs/>
                <w:snapToGrid w:val="0"/>
                <w:kern w:val="0"/>
                <w:sz w:val="21"/>
                <w:szCs w:val="21"/>
                <w:lang w:val="en-US" w:eastAsia="zh-CN"/>
              </w:rPr>
              <w:t>2</w:t>
            </w:r>
            <w:r>
              <w:rPr>
                <w:rFonts w:hint="eastAsia" w:cs="Times New Roman" w:eastAsiaTheme="minorEastAsia"/>
                <w:b w:val="0"/>
                <w:bCs/>
                <w:snapToGrid w:val="0"/>
                <w:kern w:val="0"/>
                <w:sz w:val="21"/>
                <w:szCs w:val="21"/>
                <w:lang w:val="en-US" w:eastAsia="zh-CN"/>
              </w:rPr>
              <w:t>2</w:t>
            </w:r>
          </w:p>
        </w:tc>
        <w:tc>
          <w:tcPr>
            <w:tcW w:w="8312" w:type="dxa"/>
            <w:gridSpan w:val="2"/>
            <w:noWrap w:val="0"/>
            <w:vAlign w:val="center"/>
          </w:tcPr>
          <w:p w14:paraId="54B218F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990D1C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585710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36064D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1A405E44">
            <w:pPr>
              <w:keepNext w:val="0"/>
              <w:keepLines w:val="0"/>
              <w:suppressLineNumbers w:val="0"/>
              <w:bidi w:val="0"/>
              <w:spacing w:before="0" w:beforeAutospacing="0" w:after="0" w:afterAutospacing="0"/>
              <w:ind w:left="0" w:right="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093748F3">
            <w:pPr>
              <w:keepNext w:val="0"/>
              <w:keepLines w:val="0"/>
              <w:suppressLineNumbers w:val="0"/>
              <w:bidi w:val="0"/>
              <w:spacing w:before="0" w:beforeAutospacing="0" w:after="0" w:afterAutospacing="0"/>
              <w:ind w:left="0" w:right="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EF6DFA1">
            <w:pPr>
              <w:keepNext w:val="0"/>
              <w:keepLines w:val="0"/>
              <w:suppressLineNumbers w:val="0"/>
              <w:bidi w:val="0"/>
              <w:spacing w:before="0" w:beforeAutospacing="0" w:after="0" w:afterAutospacing="0"/>
              <w:ind w:left="0" w:right="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5203D997">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2AC36FAF">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13E308A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4164F722">
            <w:pPr>
              <w:keepNext w:val="0"/>
              <w:keepLines w:val="0"/>
              <w:pageBreakBefore w:val="0"/>
              <w:widowControl w:val="0"/>
              <w:suppressLineNumbers w:val="0"/>
              <w:kinsoku/>
              <w:wordWrap/>
              <w:overflowPunct/>
              <w:topLinePunct w:val="0"/>
              <w:bidi w:val="0"/>
              <w:spacing w:before="0" w:beforeAutospacing="0" w:after="0" w:afterAutospacing="0" w:line="293" w:lineRule="auto"/>
              <w:ind w:left="0" w:right="0" w:firstLine="0" w:firstLineChars="0"/>
              <w:jc w:val="center"/>
              <w:textAlignment w:val="auto"/>
              <w:rPr>
                <w:rFonts w:hint="default" w:ascii="Times New Roman" w:hAnsi="Times New Roman" w:cs="Times New Roman" w:eastAsiaTheme="minorEastAsia"/>
                <w:sz w:val="21"/>
                <w:szCs w:val="21"/>
              </w:rPr>
            </w:pPr>
          </w:p>
          <w:p w14:paraId="08391DD5">
            <w:pPr>
              <w:keepNext w:val="0"/>
              <w:keepLines w:val="0"/>
              <w:pageBreakBefore w:val="0"/>
              <w:widowControl w:val="0"/>
              <w:suppressLineNumbers w:val="0"/>
              <w:kinsoku/>
              <w:wordWrap/>
              <w:overflowPunct/>
              <w:topLinePunct w:val="0"/>
              <w:bidi w:val="0"/>
              <w:spacing w:before="65" w:beforeAutospacing="0" w:after="0" w:afterAutospacing="0" w:line="190" w:lineRule="auto"/>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pacing w:val="-1"/>
                <w:sz w:val="21"/>
                <w:szCs w:val="21"/>
                <w:lang w:val="en-US" w:eastAsia="zh-CN"/>
              </w:rPr>
              <w:t>2</w:t>
            </w:r>
            <w:r>
              <w:rPr>
                <w:rFonts w:hint="eastAsia" w:cs="Times New Roman" w:eastAsiaTheme="minorEastAsia"/>
                <w:spacing w:val="-1"/>
                <w:sz w:val="21"/>
                <w:szCs w:val="21"/>
                <w:lang w:val="en-US" w:eastAsia="zh-CN"/>
              </w:rPr>
              <w:t>2</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1A9DE9AF">
            <w:pPr>
              <w:keepNext w:val="0"/>
              <w:keepLines w:val="0"/>
              <w:pageBreakBefore w:val="0"/>
              <w:widowControl w:val="0"/>
              <w:suppressLineNumbers w:val="0"/>
              <w:kinsoku/>
              <w:wordWrap/>
              <w:overflowPunct/>
              <w:topLinePunct w:val="0"/>
              <w:bidi w:val="0"/>
              <w:spacing w:before="0" w:beforeAutospacing="0" w:after="0" w:afterAutospacing="0" w:line="282" w:lineRule="auto"/>
              <w:ind w:left="0" w:right="0" w:firstLine="0" w:firstLineChars="0"/>
              <w:jc w:val="center"/>
              <w:textAlignment w:val="auto"/>
              <w:rPr>
                <w:rFonts w:hint="eastAsia" w:asciiTheme="minorEastAsia" w:hAnsiTheme="minorEastAsia" w:eastAsiaTheme="minorEastAsia" w:cstheme="minorEastAsia"/>
                <w:sz w:val="21"/>
                <w:szCs w:val="21"/>
              </w:rPr>
            </w:pPr>
          </w:p>
          <w:p w14:paraId="02514C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80F4D2">
            <w:pPr>
              <w:keepNext w:val="0"/>
              <w:keepLines w:val="0"/>
              <w:pageBreakBefore w:val="0"/>
              <w:widowControl w:val="0"/>
              <w:suppressLineNumbers w:val="0"/>
              <w:kinsoku/>
              <w:wordWrap/>
              <w:overflowPunct/>
              <w:topLinePunct w:val="0"/>
              <w:bidi w:val="0"/>
              <w:spacing w:before="65" w:beforeAutospacing="0" w:after="0" w:afterAutospacing="0" w:line="228"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5393390D">
            <w:pPr>
              <w:keepNext w:val="0"/>
              <w:keepLines w:val="0"/>
              <w:suppressLineNumbers w:val="0"/>
              <w:bidi w:val="0"/>
              <w:spacing w:before="0" w:beforeAutospacing="0" w:after="0" w:afterAutospacing="0"/>
              <w:ind w:left="0" w:right="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212D6C8A">
            <w:pPr>
              <w:keepNext w:val="0"/>
              <w:keepLines w:val="0"/>
              <w:suppressLineNumbers w:val="0"/>
              <w:bidi w:val="0"/>
              <w:spacing w:before="0" w:beforeAutospacing="0" w:after="0" w:afterAutospacing="0"/>
              <w:ind w:left="0" w:right="0"/>
              <w:rPr>
                <w:rFonts w:hint="default"/>
              </w:rPr>
            </w:pPr>
            <w:r>
              <w:rPr>
                <w:rFonts w:hint="default"/>
              </w:rPr>
              <w:t xml:space="preserve">(1)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5FF99CEE">
            <w:pPr>
              <w:keepNext w:val="0"/>
              <w:keepLines w:val="0"/>
              <w:suppressLineNumbers w:val="0"/>
              <w:bidi w:val="0"/>
              <w:spacing w:before="0" w:beforeAutospacing="0" w:after="0" w:afterAutospacing="0"/>
              <w:ind w:left="0" w:right="0"/>
              <w:rPr>
                <w:rFonts w:hint="default"/>
              </w:rPr>
            </w:pPr>
            <w:r>
              <w:rPr>
                <w:rFonts w:hint="default"/>
              </w:rPr>
              <w:t>(2)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CAFB6">
            <w:pPr>
              <w:keepNext w:val="0"/>
              <w:keepLines w:val="0"/>
              <w:suppressLineNumbers w:val="0"/>
              <w:bidi w:val="0"/>
              <w:spacing w:before="0" w:beforeAutospacing="0" w:after="0" w:afterAutospacing="0"/>
              <w:ind w:left="0" w:right="0"/>
              <w:rPr>
                <w:rFonts w:hint="default"/>
              </w:rPr>
            </w:pPr>
            <w:r>
              <w:rPr>
                <w:rFonts w:hint="default"/>
              </w:rPr>
              <w:t xml:space="preserve">(3)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242C4404">
            <w:pPr>
              <w:keepNext w:val="0"/>
              <w:keepLines w:val="0"/>
              <w:suppressLineNumbers w:val="0"/>
              <w:bidi w:val="0"/>
              <w:spacing w:before="0" w:beforeAutospacing="0" w:after="0" w:afterAutospacing="0"/>
              <w:ind w:left="0" w:right="0"/>
              <w:rPr>
                <w:rFonts w:hint="eastAsia"/>
              </w:rPr>
            </w:pPr>
            <w:r>
              <w:rPr>
                <w:rFonts w:hint="default"/>
              </w:rPr>
              <w:t>(4)</w:t>
            </w:r>
            <w:r>
              <w:rPr>
                <w:rFonts w:hint="eastAsia"/>
              </w:rPr>
              <w:t xml:space="preserve"> 法律规定的其他情形。</w:t>
            </w:r>
          </w:p>
        </w:tc>
      </w:tr>
      <w:tr w14:paraId="6275A86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3694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2C57E6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66B9A97">
            <w:pPr>
              <w:keepNext w:val="0"/>
              <w:keepLines w:val="0"/>
              <w:suppressLineNumbers w:val="0"/>
              <w:bidi w:val="0"/>
              <w:spacing w:before="0" w:beforeAutospacing="0" w:after="0" w:afterAutospacing="0"/>
              <w:ind w:left="0" w:right="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72651B98">
      <w:pPr>
        <w:ind w:left="0" w:leftChars="0" w:firstLine="0" w:firstLineChars="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7CCC87C">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3" w:name="_Toc6107"/>
      <w:bookmarkStart w:id="24" w:name="_Toc28336"/>
      <w:r>
        <w:rPr>
          <w:rFonts w:hint="eastAsia"/>
          <w:lang w:val="en-US" w:eastAsia="zh-CN"/>
        </w:rPr>
        <w:t>工程量清单</w:t>
      </w:r>
      <w:bookmarkEnd w:id="23"/>
      <w:bookmarkEnd w:id="24"/>
    </w:p>
    <w:p w14:paraId="118D4856">
      <w:pPr>
        <w:pStyle w:val="7"/>
        <w:ind w:left="1050" w:leftChars="0" w:hanging="1050" w:hangingChars="500"/>
        <w:rPr>
          <w:rFonts w:hint="default"/>
          <w:sz w:val="21"/>
          <w:szCs w:val="21"/>
          <w:lang w:val="en-US" w:eastAsia="zh-CN"/>
        </w:rPr>
      </w:pPr>
      <w:r>
        <w:rPr>
          <w:sz w:val="21"/>
          <w:szCs w:val="21"/>
        </w:rPr>
        <w:t>项目名称：</w:t>
      </w:r>
      <w:r>
        <w:rPr>
          <w:rFonts w:hint="eastAsia"/>
          <w:sz w:val="21"/>
          <w:szCs w:val="21"/>
          <w:lang w:val="en-US" w:eastAsia="zh-CN"/>
        </w:rPr>
        <w:t>湖州南太湖新区市本级移交道路维修养护项目（2025-2027年度）2025年度沥青混合料采购</w:t>
      </w:r>
    </w:p>
    <w:tbl>
      <w:tblPr>
        <w:tblStyle w:val="16"/>
        <w:tblW w:w="7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700"/>
        <w:gridCol w:w="704"/>
        <w:gridCol w:w="1120"/>
        <w:gridCol w:w="2424"/>
      </w:tblGrid>
      <w:tr w14:paraId="7A26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A25796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A5E5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物资名称</w:t>
            </w:r>
          </w:p>
        </w:tc>
        <w:tc>
          <w:tcPr>
            <w:tcW w:w="704" w:type="dxa"/>
            <w:tcBorders>
              <w:top w:val="single" w:color="auto" w:sz="4" w:space="0"/>
              <w:left w:val="single" w:color="auto" w:sz="4" w:space="0"/>
              <w:bottom w:val="single" w:color="auto" w:sz="4" w:space="0"/>
              <w:right w:val="single" w:color="auto" w:sz="4" w:space="0"/>
              <w:tl2br w:val="nil"/>
              <w:tr2bl w:val="nil"/>
            </w:tcBorders>
            <w:noWrap/>
            <w:vAlign w:val="center"/>
          </w:tcPr>
          <w:p w14:paraId="29943CA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0" w:type="dxa"/>
            <w:tcBorders>
              <w:top w:val="single" w:color="auto" w:sz="4" w:space="0"/>
              <w:left w:val="single" w:color="auto" w:sz="4" w:space="0"/>
              <w:bottom w:val="single" w:color="auto" w:sz="4" w:space="0"/>
              <w:right w:val="single" w:color="auto" w:sz="4" w:space="0"/>
              <w:tl2br w:val="nil"/>
              <w:tr2bl w:val="nil"/>
            </w:tcBorders>
            <w:noWrap/>
            <w:vAlign w:val="center"/>
          </w:tcPr>
          <w:p w14:paraId="0B7A0D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2424" w:type="dxa"/>
            <w:tcBorders>
              <w:top w:val="single" w:color="auto" w:sz="4" w:space="0"/>
              <w:left w:val="single" w:color="auto" w:sz="4" w:space="0"/>
              <w:bottom w:val="single" w:color="auto" w:sz="4" w:space="0"/>
              <w:right w:val="single" w:color="auto" w:sz="4" w:space="0"/>
              <w:tl2br w:val="nil"/>
              <w:tr2bl w:val="nil"/>
            </w:tcBorders>
            <w:noWrap/>
            <w:vAlign w:val="top"/>
          </w:tcPr>
          <w:p w14:paraId="072B7C6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3C9F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7ABED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35CA86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PA-1</w:t>
            </w:r>
            <w:r>
              <w:rPr>
                <w:rFonts w:hint="eastAsia" w:ascii="宋体" w:hAnsi="宋体" w:eastAsia="宋体" w:cs="宋体"/>
                <w:i w:val="0"/>
                <w:iCs w:val="0"/>
                <w:color w:val="000000"/>
                <w:kern w:val="0"/>
                <w:sz w:val="22"/>
                <w:szCs w:val="22"/>
                <w:u w:val="none"/>
                <w:lang w:val="en-US" w:eastAsia="zh-CN" w:bidi="ar"/>
              </w:rPr>
              <w:t>乳化沥青</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956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ascii="宋体" w:hAnsi="宋体" w:cs="宋体"/>
                <w:i w:val="0"/>
                <w:iCs w:val="0"/>
                <w:color w:val="000000"/>
                <w:kern w:val="0"/>
                <w:sz w:val="22"/>
                <w:szCs w:val="22"/>
                <w:u w:val="none"/>
                <w:lang w:val="en-US" w:eastAsia="zh-CN" w:bidi="ar"/>
              </w:rPr>
              <w:t>t</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8BC7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2424" w:type="dxa"/>
            <w:vMerge w:val="restart"/>
            <w:tcBorders>
              <w:top w:val="single" w:color="auto" w:sz="4" w:space="0"/>
              <w:left w:val="single" w:color="auto" w:sz="4" w:space="0"/>
              <w:right w:val="single" w:color="auto" w:sz="4" w:space="0"/>
              <w:tl2br w:val="nil"/>
              <w:tr2bl w:val="nil"/>
            </w:tcBorders>
            <w:noWrap/>
            <w:vAlign w:val="center"/>
          </w:tcPr>
          <w:p w14:paraId="138EDD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沥青混合料单价为到场价，含铣刨料残值回收</w:t>
            </w:r>
          </w:p>
        </w:tc>
      </w:tr>
      <w:tr w14:paraId="4774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4A3117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2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61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AC-16C</w:t>
            </w:r>
            <w:r>
              <w:rPr>
                <w:rFonts w:hint="eastAsia" w:ascii="宋体" w:hAnsi="宋体" w:cs="宋体"/>
                <w:i w:val="0"/>
                <w:iCs w:val="0"/>
                <w:color w:val="000000"/>
                <w:kern w:val="0"/>
                <w:sz w:val="22"/>
                <w:szCs w:val="22"/>
                <w:u w:val="none"/>
                <w:lang w:val="en-US" w:eastAsia="zh-CN" w:bidi="ar"/>
              </w:rPr>
              <w:t>中粒式</w:t>
            </w:r>
            <w:r>
              <w:rPr>
                <w:rFonts w:hint="eastAsia" w:ascii="宋体" w:hAnsi="宋体" w:eastAsia="宋体" w:cs="宋体"/>
                <w:i w:val="0"/>
                <w:iCs w:val="0"/>
                <w:color w:val="000000"/>
                <w:kern w:val="0"/>
                <w:sz w:val="22"/>
                <w:szCs w:val="22"/>
                <w:u w:val="none"/>
                <w:lang w:val="en-US" w:eastAsia="zh-CN" w:bidi="ar"/>
              </w:rPr>
              <w:t>沥青混凝土</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6BA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ascii="宋体" w:hAnsi="宋体" w:cs="宋体"/>
                <w:i w:val="0"/>
                <w:iCs w:val="0"/>
                <w:color w:val="000000"/>
                <w:kern w:val="0"/>
                <w:sz w:val="22"/>
                <w:szCs w:val="22"/>
                <w:u w:val="none"/>
                <w:lang w:val="en-US" w:eastAsia="zh-CN" w:bidi="ar"/>
              </w:rPr>
              <w:t>t</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6FBCB7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rPr>
            </w:pPr>
            <w:r>
              <w:rPr>
                <w:rFonts w:hint="eastAsia" w:ascii="宋体" w:hAnsi="宋体" w:cs="宋体"/>
                <w:i w:val="0"/>
                <w:iCs w:val="0"/>
                <w:color w:val="000000"/>
                <w:kern w:val="0"/>
                <w:sz w:val="22"/>
                <w:szCs w:val="22"/>
                <w:u w:val="none"/>
                <w:lang w:val="en-US" w:eastAsia="zh-CN" w:bidi="ar"/>
              </w:rPr>
              <w:t>240</w:t>
            </w:r>
          </w:p>
        </w:tc>
        <w:tc>
          <w:tcPr>
            <w:tcW w:w="2424" w:type="dxa"/>
            <w:vMerge w:val="continue"/>
            <w:tcBorders>
              <w:left w:val="single" w:color="auto" w:sz="4" w:space="0"/>
              <w:right w:val="single" w:color="auto" w:sz="4" w:space="0"/>
              <w:tl2br w:val="nil"/>
              <w:tr2bl w:val="nil"/>
            </w:tcBorders>
            <w:noWrap/>
            <w:vAlign w:val="top"/>
          </w:tcPr>
          <w:p w14:paraId="59993D6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A6A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00FDAFE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3</w:t>
            </w:r>
          </w:p>
        </w:tc>
        <w:tc>
          <w:tcPr>
            <w:tcW w:w="2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B8E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AC-13C</w:t>
            </w:r>
            <w:r>
              <w:rPr>
                <w:rFonts w:hint="eastAsia" w:ascii="宋体" w:hAnsi="宋体" w:cs="宋体"/>
                <w:i w:val="0"/>
                <w:iCs w:val="0"/>
                <w:color w:val="000000"/>
                <w:kern w:val="0"/>
                <w:sz w:val="22"/>
                <w:szCs w:val="22"/>
                <w:u w:val="none"/>
                <w:lang w:val="en-US" w:eastAsia="zh-CN" w:bidi="ar"/>
              </w:rPr>
              <w:t>细粒式</w:t>
            </w:r>
            <w:r>
              <w:rPr>
                <w:rFonts w:hint="eastAsia" w:ascii="宋体" w:hAnsi="宋体" w:eastAsia="宋体" w:cs="宋体"/>
                <w:i w:val="0"/>
                <w:iCs w:val="0"/>
                <w:color w:val="000000"/>
                <w:kern w:val="0"/>
                <w:sz w:val="22"/>
                <w:szCs w:val="22"/>
                <w:u w:val="none"/>
                <w:lang w:val="en-US" w:eastAsia="zh-CN" w:bidi="ar"/>
              </w:rPr>
              <w:t>沥青混凝土</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59E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t</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A98E7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2592</w:t>
            </w:r>
          </w:p>
        </w:tc>
        <w:tc>
          <w:tcPr>
            <w:tcW w:w="2424" w:type="dxa"/>
            <w:vMerge w:val="continue"/>
            <w:tcBorders>
              <w:left w:val="single" w:color="auto" w:sz="4" w:space="0"/>
              <w:right w:val="single" w:color="auto" w:sz="4" w:space="0"/>
              <w:tl2br w:val="nil"/>
              <w:tr2bl w:val="nil"/>
            </w:tcBorders>
            <w:noWrap/>
            <w:vAlign w:val="top"/>
          </w:tcPr>
          <w:p w14:paraId="244E884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464F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B01E19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4</w:t>
            </w:r>
          </w:p>
        </w:tc>
        <w:tc>
          <w:tcPr>
            <w:tcW w:w="27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E3E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LB-16中粒式</w:t>
            </w:r>
            <w:r>
              <w:rPr>
                <w:rFonts w:hint="eastAsia" w:ascii="宋体" w:hAnsi="宋体" w:eastAsia="宋体" w:cs="宋体"/>
                <w:i w:val="0"/>
                <w:iCs w:val="0"/>
                <w:color w:val="000000"/>
                <w:kern w:val="0"/>
                <w:sz w:val="22"/>
                <w:szCs w:val="22"/>
                <w:u w:val="none"/>
                <w:lang w:val="en-US" w:eastAsia="zh-CN" w:bidi="ar"/>
              </w:rPr>
              <w:t>新型冷补料</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52ED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t</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6440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114</w:t>
            </w:r>
          </w:p>
        </w:tc>
        <w:tc>
          <w:tcPr>
            <w:tcW w:w="2424" w:type="dxa"/>
            <w:vMerge w:val="continue"/>
            <w:tcBorders>
              <w:left w:val="single" w:color="auto" w:sz="4" w:space="0"/>
              <w:bottom w:val="single" w:color="auto" w:sz="4" w:space="0"/>
              <w:right w:val="single" w:color="auto" w:sz="4" w:space="0"/>
              <w:tl2br w:val="nil"/>
              <w:tr2bl w:val="nil"/>
            </w:tcBorders>
            <w:noWrap/>
            <w:vAlign w:val="top"/>
          </w:tcPr>
          <w:p w14:paraId="3548E6F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bl>
    <w:p w14:paraId="2AFBED10">
      <w:pPr>
        <w:keepNext w:val="0"/>
        <w:keepLines w:val="0"/>
        <w:widowControl w:val="0"/>
        <w:suppressLineNumbers w:val="0"/>
        <w:spacing w:before="0" w:beforeAutospacing="0" w:after="0" w:afterAutospacing="0"/>
        <w:ind w:right="0"/>
        <w:jc w:val="both"/>
        <w:rPr>
          <w:rFonts w:hint="eastAsia" w:ascii="宋体" w:hAnsi="宋体" w:eastAsia="宋体" w:cs="宋体"/>
          <w:kern w:val="2"/>
          <w:sz w:val="22"/>
          <w:szCs w:val="22"/>
          <w:lang w:val="en-US" w:eastAsia="zh-CN" w:bidi="ar"/>
        </w:rPr>
      </w:pPr>
      <w:r>
        <w:rPr>
          <w:rFonts w:hint="eastAsia" w:ascii="宋体" w:hAnsi="宋体" w:eastAsia="宋体" w:cs="宋体"/>
          <w:kern w:val="2"/>
          <w:sz w:val="22"/>
          <w:szCs w:val="22"/>
          <w:lang w:val="en-US" w:eastAsia="zh-CN" w:bidi="ar"/>
        </w:rPr>
        <w:t>本项目所供材料应满足以下技术要求：</w:t>
      </w:r>
    </w:p>
    <w:p w14:paraId="13D908BB">
      <w:pPr>
        <w:pStyle w:val="2"/>
        <w:rPr>
          <w:rFonts w:hint="eastAsia"/>
          <w:lang w:val="en-US" w:eastAsia="zh-CN"/>
        </w:rPr>
      </w:pPr>
    </w:p>
    <w:p w14:paraId="10DFD349">
      <w:pPr>
        <w:pStyle w:val="2"/>
        <w:jc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PA-1乳化</w:t>
      </w:r>
      <w:r>
        <w:rPr>
          <w:rFonts w:hint="eastAsia" w:ascii="宋体" w:hAnsi="宋体" w:eastAsia="宋体" w:cs="宋体"/>
          <w:b/>
          <w:bCs/>
          <w:i w:val="0"/>
          <w:iCs w:val="0"/>
          <w:color w:val="000000"/>
          <w:kern w:val="0"/>
          <w:sz w:val="22"/>
          <w:szCs w:val="22"/>
          <w:u w:val="none"/>
          <w:lang w:val="en-US" w:eastAsia="zh-CN" w:bidi="ar"/>
        </w:rPr>
        <w:t>沥青</w:t>
      </w:r>
    </w:p>
    <w:tbl>
      <w:tblPr>
        <w:tblStyle w:val="16"/>
        <w:tblpPr w:leftFromText="180" w:rightFromText="180" w:vertAnchor="text" w:horzAnchor="page" w:tblpXSpec="center" w:tblpY="60"/>
        <w:tblOverlap w:val="never"/>
        <w:tblW w:w="50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1365"/>
        <w:gridCol w:w="1666"/>
        <w:gridCol w:w="927"/>
        <w:gridCol w:w="1430"/>
        <w:gridCol w:w="2642"/>
      </w:tblGrid>
      <w:tr w14:paraId="5BEE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DCE09">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序号</w:t>
            </w:r>
          </w:p>
        </w:tc>
        <w:tc>
          <w:tcPr>
            <w:tcW w:w="1743" w:type="pct"/>
            <w:gridSpan w:val="2"/>
            <w:tcBorders>
              <w:top w:val="single" w:color="000000" w:sz="4" w:space="0"/>
              <w:left w:val="nil"/>
              <w:bottom w:val="single" w:color="000000" w:sz="4" w:space="0"/>
              <w:right w:val="single" w:color="000000" w:sz="4" w:space="0"/>
            </w:tcBorders>
            <w:shd w:val="clear" w:color="auto" w:fill="auto"/>
            <w:vAlign w:val="center"/>
          </w:tcPr>
          <w:p w14:paraId="54FCE58C">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项</w:t>
            </w:r>
            <w:r>
              <w:rPr>
                <w:rFonts w:hint="eastAsia" w:ascii="Calibri" w:hAnsi="Calibri" w:eastAsia="宋体" w:cs="Times New Roman"/>
                <w:kern w:val="2"/>
                <w:sz w:val="22"/>
                <w:szCs w:val="22"/>
                <w:lang w:val="en-US" w:eastAsia="zh-CN" w:bidi="ar"/>
              </w:rPr>
              <w:t xml:space="preserve"> </w:t>
            </w:r>
            <w:r>
              <w:rPr>
                <w:rFonts w:hint="default" w:ascii="Calibri" w:hAnsi="Calibri" w:eastAsia="宋体" w:cs="Calibri"/>
                <w:kern w:val="2"/>
                <w:sz w:val="22"/>
                <w:szCs w:val="22"/>
                <w:lang w:val="en-US" w:eastAsia="zh-CN" w:bidi="ar"/>
              </w:rPr>
              <w:t xml:space="preserve"> </w:t>
            </w:r>
            <w:r>
              <w:rPr>
                <w:rFonts w:hint="eastAsia" w:ascii="宋体" w:hAnsi="宋体" w:eastAsia="宋体" w:cs="宋体"/>
                <w:kern w:val="2"/>
                <w:sz w:val="22"/>
                <w:szCs w:val="22"/>
                <w:lang w:val="en-US" w:eastAsia="zh-CN" w:bidi="ar"/>
              </w:rPr>
              <w:t>目</w:t>
            </w:r>
          </w:p>
        </w:tc>
        <w:tc>
          <w:tcPr>
            <w:tcW w:w="533" w:type="pct"/>
            <w:tcBorders>
              <w:top w:val="single" w:color="000000" w:sz="4" w:space="0"/>
              <w:left w:val="nil"/>
              <w:bottom w:val="single" w:color="000000" w:sz="4" w:space="0"/>
              <w:right w:val="single" w:color="000000" w:sz="4" w:space="0"/>
            </w:tcBorders>
            <w:shd w:val="clear" w:color="auto" w:fill="auto"/>
            <w:vAlign w:val="center"/>
          </w:tcPr>
          <w:p w14:paraId="72A0A93D">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单位</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30C4C2F3">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指标要求</w:t>
            </w:r>
          </w:p>
        </w:tc>
        <w:tc>
          <w:tcPr>
            <w:tcW w:w="1519" w:type="pct"/>
            <w:tcBorders>
              <w:top w:val="single" w:color="000000" w:sz="4" w:space="0"/>
              <w:left w:val="nil"/>
              <w:bottom w:val="single" w:color="000000" w:sz="4" w:space="0"/>
              <w:right w:val="single" w:color="000000" w:sz="4" w:space="0"/>
            </w:tcBorders>
            <w:shd w:val="clear" w:color="auto" w:fill="auto"/>
            <w:vAlign w:val="center"/>
          </w:tcPr>
          <w:p w14:paraId="7FF10938">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测试方法</w:t>
            </w:r>
          </w:p>
        </w:tc>
      </w:tr>
      <w:tr w14:paraId="79C9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016D6">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default" w:ascii="Calibri" w:hAnsi="Calibri" w:eastAsia="宋体" w:cs="Calibri"/>
                <w:kern w:val="2"/>
                <w:sz w:val="22"/>
                <w:szCs w:val="22"/>
                <w:lang w:val="en-US" w:eastAsia="zh-CN" w:bidi="ar"/>
              </w:rPr>
              <w:t>1</w:t>
            </w:r>
          </w:p>
        </w:tc>
        <w:tc>
          <w:tcPr>
            <w:tcW w:w="1743" w:type="pct"/>
            <w:gridSpan w:val="2"/>
            <w:tcBorders>
              <w:top w:val="single" w:color="000000" w:sz="4" w:space="0"/>
              <w:left w:val="nil"/>
              <w:bottom w:val="single" w:color="000000" w:sz="4" w:space="0"/>
              <w:right w:val="single" w:color="000000" w:sz="4" w:space="0"/>
            </w:tcBorders>
            <w:shd w:val="clear" w:color="auto" w:fill="auto"/>
            <w:vAlign w:val="center"/>
          </w:tcPr>
          <w:p w14:paraId="53E84457">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破乳速度</w:t>
            </w:r>
          </w:p>
        </w:tc>
        <w:tc>
          <w:tcPr>
            <w:tcW w:w="533" w:type="pct"/>
            <w:tcBorders>
              <w:top w:val="single" w:color="000000" w:sz="4" w:space="0"/>
              <w:left w:val="nil"/>
              <w:bottom w:val="single" w:color="000000" w:sz="4" w:space="0"/>
              <w:right w:val="single" w:color="000000" w:sz="4" w:space="0"/>
            </w:tcBorders>
            <w:shd w:val="clear" w:color="auto" w:fill="auto"/>
            <w:vAlign w:val="center"/>
          </w:tcPr>
          <w:p w14:paraId="1E887798">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Calibri" w:hAnsi="Calibri" w:cs="Calibri"/>
                <w:kern w:val="2"/>
                <w:sz w:val="22"/>
                <w:szCs w:val="22"/>
                <w:lang w:val="en-US" w:eastAsia="zh-CN" w:bidi="ar"/>
              </w:rPr>
              <w:t>/</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590727E4">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Times New Roman"/>
                <w:kern w:val="2"/>
                <w:sz w:val="22"/>
                <w:szCs w:val="22"/>
                <w:lang w:val="en-US"/>
              </w:rPr>
            </w:pPr>
            <w:r>
              <w:rPr>
                <w:rFonts w:hint="eastAsia" w:ascii="Calibri" w:hAnsi="Calibri" w:cs="Calibri"/>
                <w:kern w:val="2"/>
                <w:sz w:val="22"/>
                <w:szCs w:val="22"/>
                <w:lang w:val="en-US" w:eastAsia="zh-CN" w:bidi="ar"/>
              </w:rPr>
              <w:t>快裂</w:t>
            </w:r>
          </w:p>
        </w:tc>
        <w:tc>
          <w:tcPr>
            <w:tcW w:w="1519" w:type="pct"/>
            <w:tcBorders>
              <w:top w:val="single" w:color="000000" w:sz="4" w:space="0"/>
              <w:left w:val="nil"/>
              <w:bottom w:val="single" w:color="000000" w:sz="4" w:space="0"/>
              <w:right w:val="single" w:color="000000" w:sz="4" w:space="0"/>
            </w:tcBorders>
            <w:shd w:val="clear" w:color="auto" w:fill="auto"/>
            <w:vAlign w:val="center"/>
          </w:tcPr>
          <w:p w14:paraId="458ACEEA">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Times New Roman"/>
                <w:kern w:val="2"/>
                <w:sz w:val="22"/>
                <w:szCs w:val="22"/>
                <w:lang w:val="en-US"/>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0658-2025</w:t>
            </w:r>
          </w:p>
        </w:tc>
      </w:tr>
      <w:tr w14:paraId="782E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75815">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default" w:ascii="Calibri" w:hAnsi="Calibri" w:eastAsia="宋体" w:cs="Calibri"/>
                <w:kern w:val="2"/>
                <w:sz w:val="22"/>
                <w:szCs w:val="22"/>
                <w:lang w:val="en-US" w:eastAsia="zh-CN" w:bidi="ar"/>
              </w:rPr>
              <w:t>2</w:t>
            </w:r>
          </w:p>
        </w:tc>
        <w:tc>
          <w:tcPr>
            <w:tcW w:w="1743" w:type="pct"/>
            <w:gridSpan w:val="2"/>
            <w:tcBorders>
              <w:top w:val="single" w:color="000000" w:sz="4" w:space="0"/>
              <w:left w:val="nil"/>
              <w:bottom w:val="single" w:color="000000" w:sz="4" w:space="0"/>
              <w:right w:val="single" w:color="000000" w:sz="4" w:space="0"/>
            </w:tcBorders>
            <w:shd w:val="clear" w:color="auto" w:fill="auto"/>
            <w:vAlign w:val="center"/>
          </w:tcPr>
          <w:p w14:paraId="392262FB">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筛上残留物（1.18mm筛）</w:t>
            </w:r>
          </w:p>
        </w:tc>
        <w:tc>
          <w:tcPr>
            <w:tcW w:w="533" w:type="pct"/>
            <w:tcBorders>
              <w:top w:val="single" w:color="000000" w:sz="4" w:space="0"/>
              <w:left w:val="nil"/>
              <w:bottom w:val="single" w:color="000000" w:sz="4" w:space="0"/>
              <w:right w:val="single" w:color="000000" w:sz="4" w:space="0"/>
            </w:tcBorders>
            <w:shd w:val="clear" w:color="auto" w:fill="auto"/>
            <w:vAlign w:val="center"/>
          </w:tcPr>
          <w:p w14:paraId="04AEEF13">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Calibri" w:hAnsi="Calibri" w:cs="Calibri"/>
                <w:kern w:val="2"/>
                <w:sz w:val="22"/>
                <w:szCs w:val="22"/>
                <w:lang w:val="en-US" w:eastAsia="zh-CN" w:bidi="ar"/>
              </w:rPr>
              <w:t>%</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2FEA24B8">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Calibri"/>
                <w:kern w:val="2"/>
                <w:sz w:val="22"/>
                <w:szCs w:val="22"/>
                <w:lang w:val="en-US" w:eastAsia="zh-CN" w:bidi="ar"/>
              </w:rPr>
            </w:pPr>
            <w:r>
              <w:rPr>
                <w:rFonts w:hint="eastAsia" w:ascii="Calibri" w:hAnsi="Calibri" w:cs="Calibri"/>
                <w:kern w:val="2"/>
                <w:sz w:val="22"/>
                <w:szCs w:val="22"/>
                <w:lang w:val="en-US" w:eastAsia="zh-CN" w:bidi="ar"/>
              </w:rPr>
              <w:t>≤0.1</w:t>
            </w:r>
          </w:p>
        </w:tc>
        <w:tc>
          <w:tcPr>
            <w:tcW w:w="1519" w:type="pct"/>
            <w:tcBorders>
              <w:top w:val="single" w:color="000000" w:sz="4" w:space="0"/>
              <w:left w:val="nil"/>
              <w:bottom w:val="single" w:color="000000" w:sz="4" w:space="0"/>
              <w:right w:val="single" w:color="000000" w:sz="4" w:space="0"/>
            </w:tcBorders>
            <w:shd w:val="clear" w:color="auto" w:fill="auto"/>
            <w:vAlign w:val="center"/>
          </w:tcPr>
          <w:p w14:paraId="4C2B5AC9">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0652-2025</w:t>
            </w:r>
          </w:p>
        </w:tc>
      </w:tr>
      <w:tr w14:paraId="707D6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380" w:type="pct"/>
            <w:vMerge w:val="restart"/>
            <w:tcBorders>
              <w:top w:val="single" w:color="000000" w:sz="4" w:space="0"/>
              <w:left w:val="single" w:color="000000" w:sz="4" w:space="0"/>
              <w:right w:val="single" w:color="000000" w:sz="4" w:space="0"/>
            </w:tcBorders>
            <w:shd w:val="clear" w:color="auto" w:fill="auto"/>
            <w:vAlign w:val="center"/>
          </w:tcPr>
          <w:p w14:paraId="195FFBF4">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Calibri" w:hAnsi="Calibri" w:cs="Calibri"/>
                <w:kern w:val="2"/>
                <w:sz w:val="22"/>
                <w:szCs w:val="22"/>
                <w:lang w:val="en-US" w:eastAsia="zh-CN" w:bidi="ar"/>
              </w:rPr>
              <w:t>3</w:t>
            </w:r>
          </w:p>
        </w:tc>
        <w:tc>
          <w:tcPr>
            <w:tcW w:w="785" w:type="pct"/>
            <w:vMerge w:val="restart"/>
            <w:tcBorders>
              <w:top w:val="single" w:color="000000" w:sz="4" w:space="0"/>
              <w:left w:val="nil"/>
              <w:right w:val="single" w:color="000000" w:sz="4" w:space="0"/>
            </w:tcBorders>
            <w:shd w:val="clear" w:color="auto" w:fill="auto"/>
            <w:vAlign w:val="center"/>
          </w:tcPr>
          <w:p w14:paraId="36B543B5">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vertAlign w:val="baseline"/>
                <w:lang w:val="en-US" w:eastAsia="zh-CN"/>
              </w:rPr>
            </w:pPr>
            <w:r>
              <w:rPr>
                <w:rFonts w:hint="eastAsia" w:ascii="Calibri" w:hAnsi="Calibri" w:cs="Times New Roman"/>
                <w:kern w:val="2"/>
                <w:sz w:val="22"/>
                <w:szCs w:val="22"/>
                <w:vertAlign w:val="baseline"/>
                <w:lang w:val="en-US" w:eastAsia="zh-CN"/>
              </w:rPr>
              <w:t>粘度</w:t>
            </w:r>
          </w:p>
        </w:tc>
        <w:tc>
          <w:tcPr>
            <w:tcW w:w="958" w:type="pct"/>
            <w:tcBorders>
              <w:top w:val="single" w:color="000000" w:sz="4" w:space="0"/>
              <w:left w:val="nil"/>
              <w:bottom w:val="single" w:color="000000" w:sz="4" w:space="0"/>
              <w:right w:val="single" w:color="000000" w:sz="4" w:space="0"/>
            </w:tcBorders>
            <w:shd w:val="clear" w:color="auto" w:fill="auto"/>
            <w:vAlign w:val="center"/>
          </w:tcPr>
          <w:p w14:paraId="054FB9FB">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Times New Roman"/>
                <w:kern w:val="2"/>
                <w:sz w:val="22"/>
                <w:szCs w:val="22"/>
                <w:lang w:val="en-US" w:eastAsia="zh-CN"/>
              </w:rPr>
            </w:pPr>
            <w:r>
              <w:rPr>
                <w:rFonts w:hint="eastAsia" w:ascii="Calibri" w:hAnsi="Calibri" w:cs="Times New Roman"/>
                <w:kern w:val="2"/>
                <w:sz w:val="22"/>
                <w:szCs w:val="22"/>
                <w:lang w:val="en-US" w:eastAsia="zh-CN"/>
              </w:rPr>
              <w:t>恩格拉粘度计E</w:t>
            </w:r>
            <w:r>
              <w:rPr>
                <w:rFonts w:hint="eastAsia" w:ascii="Calibri" w:hAnsi="Calibri" w:cs="Times New Roman"/>
                <w:kern w:val="2"/>
                <w:sz w:val="22"/>
                <w:szCs w:val="22"/>
                <w:vertAlign w:val="subscript"/>
                <w:lang w:val="en-US" w:eastAsia="zh-CN"/>
              </w:rPr>
              <w:t>25</w:t>
            </w:r>
          </w:p>
        </w:tc>
        <w:tc>
          <w:tcPr>
            <w:tcW w:w="533" w:type="pct"/>
            <w:tcBorders>
              <w:top w:val="single" w:color="000000" w:sz="4" w:space="0"/>
              <w:left w:val="nil"/>
              <w:bottom w:val="single" w:color="000000" w:sz="4" w:space="0"/>
              <w:right w:val="single" w:color="000000" w:sz="4" w:space="0"/>
            </w:tcBorders>
            <w:shd w:val="clear" w:color="auto" w:fill="auto"/>
            <w:vAlign w:val="center"/>
          </w:tcPr>
          <w:p w14:paraId="1A87C421">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Times New Roman"/>
                <w:kern w:val="2"/>
                <w:sz w:val="22"/>
                <w:szCs w:val="22"/>
                <w:lang w:val="en-US" w:eastAsia="zh-CN"/>
              </w:rPr>
            </w:pPr>
            <w:r>
              <w:rPr>
                <w:rFonts w:hint="eastAsia" w:ascii="Calibri" w:hAnsi="Calibri" w:cs="Times New Roman"/>
                <w:kern w:val="2"/>
                <w:sz w:val="22"/>
                <w:szCs w:val="22"/>
                <w:lang w:val="en-US" w:eastAsia="zh-CN"/>
              </w:rPr>
              <w:t>/</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3FADA060">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2</w:t>
            </w:r>
            <w:r>
              <w:rPr>
                <w:rFonts w:hint="default" w:ascii="Calibri" w:hAnsi="Calibri" w:cs="Times New Roman"/>
                <w:kern w:val="2"/>
                <w:sz w:val="22"/>
                <w:szCs w:val="22"/>
                <w:lang w:val="en-US" w:eastAsia="zh-CN"/>
              </w:rPr>
              <w:t>~</w:t>
            </w:r>
            <w:r>
              <w:rPr>
                <w:rFonts w:hint="eastAsia" w:ascii="Calibri" w:hAnsi="Calibri" w:cs="Times New Roman"/>
                <w:kern w:val="2"/>
                <w:sz w:val="22"/>
                <w:szCs w:val="22"/>
                <w:lang w:val="en-US" w:eastAsia="zh-CN"/>
              </w:rPr>
              <w:t>10</w:t>
            </w:r>
          </w:p>
        </w:tc>
        <w:tc>
          <w:tcPr>
            <w:tcW w:w="1519" w:type="pct"/>
            <w:tcBorders>
              <w:top w:val="single" w:color="000000" w:sz="4" w:space="0"/>
              <w:left w:val="nil"/>
              <w:bottom w:val="single" w:color="000000" w:sz="4" w:space="0"/>
              <w:right w:val="single" w:color="000000" w:sz="4" w:space="0"/>
            </w:tcBorders>
            <w:shd w:val="clear" w:color="auto" w:fill="auto"/>
            <w:vAlign w:val="center"/>
          </w:tcPr>
          <w:p w14:paraId="4C4C65A8">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Times New Roman"/>
                <w:kern w:val="2"/>
                <w:sz w:val="22"/>
                <w:szCs w:val="22"/>
                <w:lang w:val="en-US" w:eastAsia="zh-CN"/>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0622-2025</w:t>
            </w:r>
          </w:p>
        </w:tc>
      </w:tr>
      <w:tr w14:paraId="211A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80" w:type="pct"/>
            <w:vMerge w:val="continue"/>
            <w:tcBorders>
              <w:left w:val="single" w:color="000000" w:sz="4" w:space="0"/>
              <w:bottom w:val="single" w:color="000000" w:sz="4" w:space="0"/>
              <w:right w:val="single" w:color="000000" w:sz="4" w:space="0"/>
            </w:tcBorders>
            <w:shd w:val="clear" w:color="auto" w:fill="auto"/>
            <w:vAlign w:val="center"/>
          </w:tcPr>
          <w:p w14:paraId="76F4FE55">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p>
        </w:tc>
        <w:tc>
          <w:tcPr>
            <w:tcW w:w="785" w:type="pct"/>
            <w:vMerge w:val="continue"/>
            <w:tcBorders>
              <w:left w:val="nil"/>
              <w:bottom w:val="single" w:color="000000" w:sz="4" w:space="0"/>
              <w:right w:val="single" w:color="000000" w:sz="4" w:space="0"/>
            </w:tcBorders>
            <w:shd w:val="clear" w:color="auto" w:fill="auto"/>
            <w:vAlign w:val="center"/>
          </w:tcPr>
          <w:p w14:paraId="7D98D5C3">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p>
        </w:tc>
        <w:tc>
          <w:tcPr>
            <w:tcW w:w="958" w:type="pct"/>
            <w:tcBorders>
              <w:top w:val="single" w:color="000000" w:sz="4" w:space="0"/>
              <w:left w:val="nil"/>
              <w:bottom w:val="single" w:color="000000" w:sz="4" w:space="0"/>
              <w:right w:val="single" w:color="000000" w:sz="4" w:space="0"/>
            </w:tcBorders>
            <w:shd w:val="clear" w:color="auto" w:fill="auto"/>
            <w:vAlign w:val="center"/>
          </w:tcPr>
          <w:p w14:paraId="47A6EC74">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Times New Roman"/>
                <w:kern w:val="2"/>
                <w:sz w:val="22"/>
                <w:szCs w:val="22"/>
                <w:lang w:val="en-US" w:eastAsia="zh-CN"/>
              </w:rPr>
            </w:pPr>
            <w:r>
              <w:rPr>
                <w:rFonts w:hint="eastAsia" w:ascii="Calibri" w:hAnsi="Calibri" w:cs="Times New Roman"/>
                <w:kern w:val="2"/>
                <w:sz w:val="22"/>
                <w:szCs w:val="22"/>
                <w:lang w:val="en-US" w:eastAsia="zh-CN"/>
              </w:rPr>
              <w:t>道路标准粘度计</w:t>
            </w:r>
          </w:p>
        </w:tc>
        <w:tc>
          <w:tcPr>
            <w:tcW w:w="533" w:type="pct"/>
            <w:tcBorders>
              <w:top w:val="single" w:color="000000" w:sz="4" w:space="0"/>
              <w:left w:val="nil"/>
              <w:bottom w:val="single" w:color="000000" w:sz="4" w:space="0"/>
              <w:right w:val="single" w:color="000000" w:sz="4" w:space="0"/>
            </w:tcBorders>
            <w:shd w:val="clear" w:color="auto" w:fill="auto"/>
            <w:vAlign w:val="center"/>
          </w:tcPr>
          <w:p w14:paraId="3004AD37">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s</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316401A7">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10</w:t>
            </w:r>
            <w:r>
              <w:rPr>
                <w:rFonts w:hint="default" w:ascii="Calibri" w:hAnsi="Calibri" w:cs="Times New Roman"/>
                <w:kern w:val="2"/>
                <w:sz w:val="22"/>
                <w:szCs w:val="22"/>
                <w:lang w:val="en-US" w:eastAsia="zh-CN"/>
              </w:rPr>
              <w:t>~</w:t>
            </w:r>
            <w:r>
              <w:rPr>
                <w:rFonts w:hint="eastAsia" w:ascii="Calibri" w:hAnsi="Calibri" w:cs="Times New Roman"/>
                <w:kern w:val="2"/>
                <w:sz w:val="22"/>
                <w:szCs w:val="22"/>
                <w:lang w:val="en-US" w:eastAsia="zh-CN"/>
              </w:rPr>
              <w:t>25</w:t>
            </w:r>
          </w:p>
        </w:tc>
        <w:tc>
          <w:tcPr>
            <w:tcW w:w="1519" w:type="pct"/>
            <w:tcBorders>
              <w:top w:val="single" w:color="000000" w:sz="4" w:space="0"/>
              <w:left w:val="nil"/>
              <w:bottom w:val="single" w:color="000000" w:sz="4" w:space="0"/>
              <w:right w:val="single" w:color="000000" w:sz="4" w:space="0"/>
            </w:tcBorders>
            <w:shd w:val="clear" w:color="auto" w:fill="auto"/>
            <w:vAlign w:val="center"/>
          </w:tcPr>
          <w:p w14:paraId="6D308EBD">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Times New Roman"/>
                <w:kern w:val="2"/>
                <w:sz w:val="22"/>
                <w:szCs w:val="22"/>
                <w:lang w:val="en-US" w:eastAsia="zh-CN"/>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0621-2025</w:t>
            </w:r>
          </w:p>
        </w:tc>
      </w:tr>
      <w:tr w14:paraId="692AB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80" w:type="pct"/>
            <w:vMerge w:val="restart"/>
            <w:tcBorders>
              <w:top w:val="single" w:color="000000" w:sz="4" w:space="0"/>
              <w:left w:val="single" w:color="000000" w:sz="4" w:space="0"/>
              <w:right w:val="single" w:color="000000" w:sz="4" w:space="0"/>
            </w:tcBorders>
            <w:shd w:val="clear" w:color="auto" w:fill="auto"/>
            <w:vAlign w:val="center"/>
          </w:tcPr>
          <w:p w14:paraId="36646649">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Calibri"/>
                <w:kern w:val="2"/>
                <w:sz w:val="22"/>
                <w:szCs w:val="22"/>
                <w:lang w:val="en-US" w:eastAsia="zh-CN" w:bidi="ar"/>
              </w:rPr>
            </w:pPr>
            <w:r>
              <w:rPr>
                <w:rFonts w:hint="eastAsia" w:ascii="Calibri" w:hAnsi="Calibri" w:cs="Calibri"/>
                <w:kern w:val="2"/>
                <w:sz w:val="22"/>
                <w:szCs w:val="22"/>
                <w:lang w:val="en-US" w:eastAsia="zh-CN" w:bidi="ar"/>
              </w:rPr>
              <w:t>4</w:t>
            </w:r>
          </w:p>
        </w:tc>
        <w:tc>
          <w:tcPr>
            <w:tcW w:w="785" w:type="pct"/>
            <w:vMerge w:val="restart"/>
            <w:tcBorders>
              <w:top w:val="single" w:color="000000" w:sz="4" w:space="0"/>
              <w:left w:val="nil"/>
              <w:right w:val="single" w:color="000000" w:sz="4" w:space="0"/>
            </w:tcBorders>
            <w:shd w:val="clear" w:color="auto" w:fill="auto"/>
            <w:vAlign w:val="center"/>
          </w:tcPr>
          <w:p w14:paraId="75CEE118">
            <w:pPr>
              <w:keepNext w:val="0"/>
              <w:keepLines w:val="0"/>
              <w:widowControl w:val="0"/>
              <w:suppressLineNumbers w:val="0"/>
              <w:tabs>
                <w:tab w:val="left" w:pos="250"/>
              </w:tabs>
              <w:autoSpaceDE w:val="0"/>
              <w:autoSpaceDN/>
              <w:spacing w:before="0" w:beforeAutospacing="0" w:after="0" w:afterAutospacing="0" w:line="360" w:lineRule="auto"/>
              <w:ind w:left="0" w:right="0" w:firstLine="0" w:firstLineChars="0"/>
              <w:jc w:val="left"/>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蒸发残留物</w:t>
            </w:r>
          </w:p>
        </w:tc>
        <w:tc>
          <w:tcPr>
            <w:tcW w:w="958" w:type="pct"/>
            <w:tcBorders>
              <w:top w:val="single" w:color="000000" w:sz="4" w:space="0"/>
              <w:left w:val="nil"/>
              <w:bottom w:val="single" w:color="000000" w:sz="4" w:space="0"/>
              <w:right w:val="single" w:color="000000" w:sz="4" w:space="0"/>
            </w:tcBorders>
            <w:shd w:val="clear" w:color="auto" w:fill="auto"/>
            <w:vAlign w:val="center"/>
          </w:tcPr>
          <w:p w14:paraId="09261136">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残留分含量</w:t>
            </w:r>
          </w:p>
        </w:tc>
        <w:tc>
          <w:tcPr>
            <w:tcW w:w="533" w:type="pct"/>
            <w:tcBorders>
              <w:top w:val="single" w:color="000000" w:sz="4" w:space="0"/>
              <w:left w:val="nil"/>
              <w:bottom w:val="single" w:color="000000" w:sz="4" w:space="0"/>
              <w:right w:val="single" w:color="000000" w:sz="4" w:space="0"/>
            </w:tcBorders>
            <w:shd w:val="clear" w:color="auto" w:fill="auto"/>
            <w:vAlign w:val="center"/>
          </w:tcPr>
          <w:p w14:paraId="2203557A">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1CA883E2">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≥50</w:t>
            </w:r>
          </w:p>
        </w:tc>
        <w:tc>
          <w:tcPr>
            <w:tcW w:w="1519" w:type="pct"/>
            <w:tcBorders>
              <w:top w:val="single" w:color="000000" w:sz="4" w:space="0"/>
              <w:left w:val="nil"/>
              <w:bottom w:val="single" w:color="000000" w:sz="4" w:space="0"/>
              <w:right w:val="single" w:color="000000" w:sz="4" w:space="0"/>
            </w:tcBorders>
            <w:shd w:val="clear" w:color="auto" w:fill="auto"/>
            <w:vAlign w:val="center"/>
          </w:tcPr>
          <w:p w14:paraId="39F615CF">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Calibri"/>
                <w:kern w:val="2"/>
                <w:sz w:val="22"/>
                <w:szCs w:val="22"/>
                <w:lang w:val="en-US" w:eastAsia="zh-CN" w:bidi="ar"/>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0651-2025</w:t>
            </w:r>
          </w:p>
        </w:tc>
      </w:tr>
      <w:tr w14:paraId="6564A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80" w:type="pct"/>
            <w:vMerge w:val="continue"/>
            <w:tcBorders>
              <w:left w:val="single" w:color="000000" w:sz="4" w:space="0"/>
              <w:right w:val="single" w:color="000000" w:sz="4" w:space="0"/>
            </w:tcBorders>
            <w:shd w:val="clear" w:color="auto" w:fill="auto"/>
            <w:vAlign w:val="center"/>
          </w:tcPr>
          <w:p w14:paraId="1A8E9F22">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Calibri"/>
                <w:kern w:val="2"/>
                <w:sz w:val="22"/>
                <w:szCs w:val="22"/>
                <w:lang w:val="en-US" w:eastAsia="zh-CN" w:bidi="ar"/>
              </w:rPr>
            </w:pPr>
          </w:p>
        </w:tc>
        <w:tc>
          <w:tcPr>
            <w:tcW w:w="785" w:type="pct"/>
            <w:vMerge w:val="continue"/>
            <w:tcBorders>
              <w:left w:val="nil"/>
              <w:right w:val="single" w:color="000000" w:sz="4" w:space="0"/>
            </w:tcBorders>
            <w:shd w:val="clear" w:color="auto" w:fill="auto"/>
            <w:vAlign w:val="center"/>
          </w:tcPr>
          <w:p w14:paraId="7B672B08">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Times New Roman"/>
                <w:kern w:val="2"/>
                <w:sz w:val="22"/>
                <w:szCs w:val="22"/>
                <w:lang w:val="en-US" w:eastAsia="zh-CN"/>
              </w:rPr>
            </w:pPr>
          </w:p>
        </w:tc>
        <w:tc>
          <w:tcPr>
            <w:tcW w:w="958" w:type="pct"/>
            <w:tcBorders>
              <w:top w:val="single" w:color="000000" w:sz="4" w:space="0"/>
              <w:left w:val="nil"/>
              <w:bottom w:val="single" w:color="000000" w:sz="4" w:space="0"/>
              <w:right w:val="single" w:color="000000" w:sz="4" w:space="0"/>
            </w:tcBorders>
            <w:shd w:val="clear" w:color="auto" w:fill="auto"/>
            <w:vAlign w:val="center"/>
          </w:tcPr>
          <w:p w14:paraId="7FE5D12E">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溶解度</w:t>
            </w:r>
          </w:p>
        </w:tc>
        <w:tc>
          <w:tcPr>
            <w:tcW w:w="533" w:type="pct"/>
            <w:tcBorders>
              <w:top w:val="single" w:color="000000" w:sz="4" w:space="0"/>
              <w:left w:val="nil"/>
              <w:bottom w:val="single" w:color="000000" w:sz="4" w:space="0"/>
              <w:right w:val="single" w:color="000000" w:sz="4" w:space="0"/>
            </w:tcBorders>
            <w:shd w:val="clear" w:color="auto" w:fill="auto"/>
            <w:vAlign w:val="center"/>
          </w:tcPr>
          <w:p w14:paraId="1A8B87FF">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74C21C4C">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≥97.5</w:t>
            </w:r>
          </w:p>
        </w:tc>
        <w:tc>
          <w:tcPr>
            <w:tcW w:w="1519" w:type="pct"/>
            <w:tcBorders>
              <w:top w:val="single" w:color="000000" w:sz="4" w:space="0"/>
              <w:left w:val="nil"/>
              <w:bottom w:val="single" w:color="000000" w:sz="4" w:space="0"/>
              <w:right w:val="single" w:color="000000" w:sz="4" w:space="0"/>
            </w:tcBorders>
            <w:shd w:val="clear" w:color="auto" w:fill="auto"/>
            <w:vAlign w:val="center"/>
          </w:tcPr>
          <w:p w14:paraId="6B005C19">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Calibri"/>
                <w:kern w:val="2"/>
                <w:sz w:val="22"/>
                <w:szCs w:val="22"/>
                <w:lang w:val="en-US" w:eastAsia="zh-CN" w:bidi="ar"/>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0607-2025</w:t>
            </w:r>
          </w:p>
        </w:tc>
      </w:tr>
      <w:tr w14:paraId="4844D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80" w:type="pct"/>
            <w:vMerge w:val="continue"/>
            <w:tcBorders>
              <w:left w:val="single" w:color="000000" w:sz="4" w:space="0"/>
              <w:right w:val="single" w:color="000000" w:sz="4" w:space="0"/>
            </w:tcBorders>
            <w:shd w:val="clear" w:color="auto" w:fill="auto"/>
            <w:vAlign w:val="center"/>
          </w:tcPr>
          <w:p w14:paraId="3CCAC43A">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Calibri"/>
                <w:kern w:val="2"/>
                <w:sz w:val="22"/>
                <w:szCs w:val="22"/>
                <w:lang w:val="en-US" w:eastAsia="zh-CN" w:bidi="ar"/>
              </w:rPr>
            </w:pPr>
          </w:p>
        </w:tc>
        <w:tc>
          <w:tcPr>
            <w:tcW w:w="785" w:type="pct"/>
            <w:vMerge w:val="continue"/>
            <w:tcBorders>
              <w:left w:val="nil"/>
              <w:right w:val="single" w:color="000000" w:sz="4" w:space="0"/>
            </w:tcBorders>
            <w:shd w:val="clear" w:color="auto" w:fill="auto"/>
            <w:vAlign w:val="center"/>
          </w:tcPr>
          <w:p w14:paraId="6E4EC463">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Times New Roman"/>
                <w:kern w:val="2"/>
                <w:sz w:val="22"/>
                <w:szCs w:val="22"/>
                <w:lang w:val="en-US" w:eastAsia="zh-CN"/>
              </w:rPr>
            </w:pPr>
          </w:p>
        </w:tc>
        <w:tc>
          <w:tcPr>
            <w:tcW w:w="958" w:type="pct"/>
            <w:tcBorders>
              <w:top w:val="single" w:color="000000" w:sz="4" w:space="0"/>
              <w:left w:val="nil"/>
              <w:bottom w:val="single" w:color="000000" w:sz="4" w:space="0"/>
              <w:right w:val="single" w:color="000000" w:sz="4" w:space="0"/>
            </w:tcBorders>
            <w:shd w:val="clear" w:color="auto" w:fill="auto"/>
            <w:vAlign w:val="center"/>
          </w:tcPr>
          <w:p w14:paraId="04761A03">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针入度（25℃）</w:t>
            </w:r>
          </w:p>
        </w:tc>
        <w:tc>
          <w:tcPr>
            <w:tcW w:w="533" w:type="pct"/>
            <w:tcBorders>
              <w:top w:val="single" w:color="000000" w:sz="4" w:space="0"/>
              <w:left w:val="nil"/>
              <w:bottom w:val="single" w:color="000000" w:sz="4" w:space="0"/>
              <w:right w:val="single" w:color="000000" w:sz="4" w:space="0"/>
            </w:tcBorders>
            <w:shd w:val="clear" w:color="auto" w:fill="auto"/>
            <w:vAlign w:val="center"/>
          </w:tcPr>
          <w:p w14:paraId="3BDB3AD0">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0.1mm</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2D64E436">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50</w:t>
            </w:r>
            <w:r>
              <w:rPr>
                <w:rFonts w:hint="default" w:ascii="Calibri" w:hAnsi="Calibri" w:cs="Times New Roman"/>
                <w:kern w:val="2"/>
                <w:sz w:val="22"/>
                <w:szCs w:val="22"/>
                <w:lang w:val="en-US" w:eastAsia="zh-CN"/>
              </w:rPr>
              <w:t>~</w:t>
            </w:r>
            <w:r>
              <w:rPr>
                <w:rFonts w:hint="eastAsia" w:ascii="Calibri" w:hAnsi="Calibri" w:cs="Times New Roman"/>
                <w:kern w:val="2"/>
                <w:sz w:val="22"/>
                <w:szCs w:val="22"/>
                <w:lang w:val="en-US" w:eastAsia="zh-CN"/>
              </w:rPr>
              <w:t>200</w:t>
            </w:r>
          </w:p>
        </w:tc>
        <w:tc>
          <w:tcPr>
            <w:tcW w:w="1519" w:type="pct"/>
            <w:tcBorders>
              <w:top w:val="single" w:color="000000" w:sz="4" w:space="0"/>
              <w:left w:val="nil"/>
              <w:bottom w:val="single" w:color="000000" w:sz="4" w:space="0"/>
              <w:right w:val="single" w:color="000000" w:sz="4" w:space="0"/>
            </w:tcBorders>
            <w:shd w:val="clear" w:color="auto" w:fill="auto"/>
            <w:vAlign w:val="center"/>
          </w:tcPr>
          <w:p w14:paraId="48EDC43A">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Calibri"/>
                <w:kern w:val="2"/>
                <w:sz w:val="22"/>
                <w:szCs w:val="22"/>
                <w:lang w:val="en-US" w:eastAsia="zh-CN" w:bidi="ar"/>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0604-2025</w:t>
            </w:r>
          </w:p>
        </w:tc>
      </w:tr>
      <w:tr w14:paraId="21BC0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80" w:type="pct"/>
            <w:vMerge w:val="continue"/>
            <w:tcBorders>
              <w:left w:val="single" w:color="000000" w:sz="4" w:space="0"/>
              <w:bottom w:val="single" w:color="000000" w:sz="4" w:space="0"/>
              <w:right w:val="single" w:color="000000" w:sz="4" w:space="0"/>
            </w:tcBorders>
            <w:shd w:val="clear" w:color="auto" w:fill="auto"/>
            <w:vAlign w:val="center"/>
          </w:tcPr>
          <w:p w14:paraId="2299A83B">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Calibri"/>
                <w:kern w:val="2"/>
                <w:sz w:val="22"/>
                <w:szCs w:val="22"/>
                <w:lang w:val="en-US" w:eastAsia="zh-CN" w:bidi="ar"/>
              </w:rPr>
            </w:pPr>
          </w:p>
        </w:tc>
        <w:tc>
          <w:tcPr>
            <w:tcW w:w="785" w:type="pct"/>
            <w:vMerge w:val="continue"/>
            <w:tcBorders>
              <w:left w:val="nil"/>
              <w:bottom w:val="single" w:color="000000" w:sz="4" w:space="0"/>
              <w:right w:val="single" w:color="000000" w:sz="4" w:space="0"/>
            </w:tcBorders>
            <w:shd w:val="clear" w:color="auto" w:fill="auto"/>
            <w:vAlign w:val="center"/>
          </w:tcPr>
          <w:p w14:paraId="27ADD90C">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Times New Roman"/>
                <w:kern w:val="2"/>
                <w:sz w:val="22"/>
                <w:szCs w:val="22"/>
                <w:lang w:val="en-US" w:eastAsia="zh-CN"/>
              </w:rPr>
            </w:pPr>
          </w:p>
        </w:tc>
        <w:tc>
          <w:tcPr>
            <w:tcW w:w="958" w:type="pct"/>
            <w:tcBorders>
              <w:top w:val="single" w:color="000000" w:sz="4" w:space="0"/>
              <w:left w:val="nil"/>
              <w:bottom w:val="single" w:color="000000" w:sz="4" w:space="0"/>
              <w:right w:val="single" w:color="000000" w:sz="4" w:space="0"/>
            </w:tcBorders>
            <w:shd w:val="clear" w:color="auto" w:fill="auto"/>
            <w:vAlign w:val="center"/>
          </w:tcPr>
          <w:p w14:paraId="263FF5FF">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延度（15℃）</w:t>
            </w:r>
          </w:p>
        </w:tc>
        <w:tc>
          <w:tcPr>
            <w:tcW w:w="533" w:type="pct"/>
            <w:tcBorders>
              <w:top w:val="single" w:color="000000" w:sz="4" w:space="0"/>
              <w:left w:val="nil"/>
              <w:bottom w:val="single" w:color="000000" w:sz="4" w:space="0"/>
              <w:right w:val="single" w:color="000000" w:sz="4" w:space="0"/>
            </w:tcBorders>
            <w:shd w:val="clear" w:color="auto" w:fill="auto"/>
            <w:vAlign w:val="center"/>
          </w:tcPr>
          <w:p w14:paraId="28211945">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cm</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1EBECFE3">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40</w:t>
            </w:r>
          </w:p>
        </w:tc>
        <w:tc>
          <w:tcPr>
            <w:tcW w:w="1519" w:type="pct"/>
            <w:tcBorders>
              <w:top w:val="single" w:color="000000" w:sz="4" w:space="0"/>
              <w:left w:val="nil"/>
              <w:bottom w:val="single" w:color="000000" w:sz="4" w:space="0"/>
              <w:right w:val="single" w:color="000000" w:sz="4" w:space="0"/>
            </w:tcBorders>
            <w:shd w:val="clear" w:color="auto" w:fill="auto"/>
            <w:vAlign w:val="center"/>
          </w:tcPr>
          <w:p w14:paraId="15BDFBFA">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Calibri"/>
                <w:kern w:val="2"/>
                <w:sz w:val="22"/>
                <w:szCs w:val="22"/>
                <w:lang w:val="en-US" w:eastAsia="zh-CN" w:bidi="ar"/>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0605-2025</w:t>
            </w:r>
          </w:p>
        </w:tc>
      </w:tr>
      <w:tr w14:paraId="2F87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C215">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Calibri"/>
                <w:kern w:val="2"/>
                <w:sz w:val="22"/>
                <w:szCs w:val="22"/>
                <w:lang w:val="en-US" w:eastAsia="zh-CN" w:bidi="ar"/>
              </w:rPr>
            </w:pPr>
            <w:r>
              <w:rPr>
                <w:rFonts w:hint="eastAsia" w:ascii="Calibri" w:hAnsi="Calibri" w:cs="Calibri"/>
                <w:kern w:val="2"/>
                <w:sz w:val="22"/>
                <w:szCs w:val="22"/>
                <w:lang w:val="en-US" w:eastAsia="zh-CN" w:bidi="ar"/>
              </w:rPr>
              <w:t>5</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85EA5">
            <w:pPr>
              <w:keepNext w:val="0"/>
              <w:keepLines w:val="0"/>
              <w:widowControl w:val="0"/>
              <w:suppressLineNumbers w:val="0"/>
              <w:tabs>
                <w:tab w:val="left" w:pos="732"/>
              </w:tabs>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与粗集料的粘附性，裹附面积</w:t>
            </w:r>
          </w:p>
        </w:tc>
        <w:tc>
          <w:tcPr>
            <w:tcW w:w="533" w:type="pct"/>
            <w:tcBorders>
              <w:top w:val="single" w:color="000000" w:sz="4" w:space="0"/>
              <w:left w:val="nil"/>
              <w:bottom w:val="single" w:color="000000" w:sz="4" w:space="0"/>
              <w:right w:val="single" w:color="000000" w:sz="4" w:space="0"/>
            </w:tcBorders>
            <w:shd w:val="clear" w:color="auto" w:fill="auto"/>
            <w:vAlign w:val="center"/>
          </w:tcPr>
          <w:p w14:paraId="03FCDCBD">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5F295081">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≥2/3</w:t>
            </w:r>
          </w:p>
        </w:tc>
        <w:tc>
          <w:tcPr>
            <w:tcW w:w="1519" w:type="pct"/>
            <w:tcBorders>
              <w:top w:val="single" w:color="000000" w:sz="4" w:space="0"/>
              <w:left w:val="nil"/>
              <w:bottom w:val="single" w:color="000000" w:sz="4" w:space="0"/>
              <w:right w:val="single" w:color="000000" w:sz="4" w:space="0"/>
            </w:tcBorders>
            <w:shd w:val="clear" w:color="auto" w:fill="auto"/>
            <w:vAlign w:val="center"/>
          </w:tcPr>
          <w:p w14:paraId="58ADF698">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center"/>
              <w:rPr>
                <w:rFonts w:hint="default" w:ascii="Calibri" w:hAnsi="Calibri" w:eastAsia="宋体" w:cs="Calibri"/>
                <w:kern w:val="2"/>
                <w:sz w:val="22"/>
                <w:szCs w:val="22"/>
                <w:lang w:val="en-US" w:eastAsia="zh-CN" w:bidi="ar"/>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0654-2025</w:t>
            </w:r>
          </w:p>
        </w:tc>
      </w:tr>
      <w:tr w14:paraId="67A2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80" w:type="pct"/>
            <w:vMerge w:val="restart"/>
            <w:tcBorders>
              <w:top w:val="single" w:color="000000" w:sz="4" w:space="0"/>
              <w:left w:val="single" w:color="000000" w:sz="4" w:space="0"/>
              <w:right w:val="single" w:color="000000" w:sz="4" w:space="0"/>
            </w:tcBorders>
            <w:shd w:val="clear" w:color="auto" w:fill="auto"/>
            <w:vAlign w:val="center"/>
          </w:tcPr>
          <w:p w14:paraId="496E3905">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Calibri"/>
                <w:kern w:val="2"/>
                <w:sz w:val="22"/>
                <w:szCs w:val="22"/>
                <w:lang w:val="en-US" w:eastAsia="zh-CN" w:bidi="ar"/>
              </w:rPr>
            </w:pPr>
            <w:r>
              <w:rPr>
                <w:rFonts w:hint="eastAsia" w:ascii="Calibri" w:hAnsi="Calibri" w:cs="Calibri"/>
                <w:kern w:val="2"/>
                <w:sz w:val="22"/>
                <w:szCs w:val="22"/>
                <w:lang w:val="en-US" w:eastAsia="zh-CN" w:bidi="ar"/>
              </w:rPr>
              <w:t>6</w:t>
            </w:r>
          </w:p>
        </w:tc>
        <w:tc>
          <w:tcPr>
            <w:tcW w:w="785" w:type="pct"/>
            <w:vMerge w:val="restart"/>
            <w:tcBorders>
              <w:top w:val="single" w:color="000000" w:sz="4" w:space="0"/>
              <w:left w:val="nil"/>
              <w:right w:val="single" w:color="000000" w:sz="4" w:space="0"/>
            </w:tcBorders>
            <w:shd w:val="clear" w:color="auto" w:fill="auto"/>
            <w:vAlign w:val="center"/>
          </w:tcPr>
          <w:p w14:paraId="735AAD9A">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常温贮存稳定性</w:t>
            </w:r>
          </w:p>
        </w:tc>
        <w:tc>
          <w:tcPr>
            <w:tcW w:w="958" w:type="pct"/>
            <w:tcBorders>
              <w:top w:val="single" w:color="000000" w:sz="4" w:space="0"/>
              <w:left w:val="nil"/>
              <w:bottom w:val="single" w:color="000000" w:sz="4" w:space="0"/>
              <w:right w:val="single" w:color="000000" w:sz="4" w:space="0"/>
            </w:tcBorders>
            <w:shd w:val="clear" w:color="auto" w:fill="auto"/>
            <w:vAlign w:val="center"/>
          </w:tcPr>
          <w:p w14:paraId="01BAA065">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1d</w:t>
            </w:r>
          </w:p>
        </w:tc>
        <w:tc>
          <w:tcPr>
            <w:tcW w:w="533" w:type="pct"/>
            <w:tcBorders>
              <w:top w:val="single" w:color="000000" w:sz="4" w:space="0"/>
              <w:left w:val="nil"/>
              <w:bottom w:val="single" w:color="000000" w:sz="4" w:space="0"/>
              <w:right w:val="single" w:color="000000" w:sz="4" w:space="0"/>
            </w:tcBorders>
            <w:shd w:val="clear" w:color="auto" w:fill="auto"/>
            <w:vAlign w:val="center"/>
          </w:tcPr>
          <w:p w14:paraId="701412C9">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2D1355E8">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≤1</w:t>
            </w:r>
          </w:p>
        </w:tc>
        <w:tc>
          <w:tcPr>
            <w:tcW w:w="1519" w:type="pct"/>
            <w:vMerge w:val="restart"/>
            <w:tcBorders>
              <w:top w:val="single" w:color="000000" w:sz="4" w:space="0"/>
              <w:left w:val="nil"/>
              <w:right w:val="single" w:color="000000" w:sz="4" w:space="0"/>
            </w:tcBorders>
            <w:shd w:val="clear" w:color="auto" w:fill="auto"/>
            <w:vAlign w:val="center"/>
          </w:tcPr>
          <w:p w14:paraId="6679E75B">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Calibri"/>
                <w:kern w:val="2"/>
                <w:sz w:val="22"/>
                <w:szCs w:val="22"/>
                <w:lang w:val="en-US" w:eastAsia="zh-CN" w:bidi="ar"/>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0655-2025</w:t>
            </w:r>
          </w:p>
        </w:tc>
      </w:tr>
      <w:tr w14:paraId="3570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80" w:type="pct"/>
            <w:vMerge w:val="continue"/>
            <w:tcBorders>
              <w:left w:val="single" w:color="000000" w:sz="4" w:space="0"/>
              <w:bottom w:val="single" w:color="000000" w:sz="4" w:space="0"/>
              <w:right w:val="single" w:color="000000" w:sz="4" w:space="0"/>
            </w:tcBorders>
            <w:shd w:val="clear" w:color="auto" w:fill="auto"/>
            <w:vAlign w:val="center"/>
          </w:tcPr>
          <w:p w14:paraId="4F23E395">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Calibri"/>
                <w:kern w:val="2"/>
                <w:sz w:val="22"/>
                <w:szCs w:val="22"/>
                <w:lang w:val="en-US" w:eastAsia="zh-CN" w:bidi="ar"/>
              </w:rPr>
            </w:pPr>
          </w:p>
        </w:tc>
        <w:tc>
          <w:tcPr>
            <w:tcW w:w="785" w:type="pct"/>
            <w:vMerge w:val="continue"/>
            <w:tcBorders>
              <w:left w:val="nil"/>
              <w:bottom w:val="single" w:color="000000" w:sz="4" w:space="0"/>
              <w:right w:val="single" w:color="000000" w:sz="4" w:space="0"/>
            </w:tcBorders>
            <w:shd w:val="clear" w:color="auto" w:fill="auto"/>
            <w:vAlign w:val="center"/>
          </w:tcPr>
          <w:p w14:paraId="39ADA9CB">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Times New Roman"/>
                <w:kern w:val="2"/>
                <w:sz w:val="22"/>
                <w:szCs w:val="22"/>
                <w:lang w:val="en-US" w:eastAsia="zh-CN"/>
              </w:rPr>
            </w:pPr>
          </w:p>
        </w:tc>
        <w:tc>
          <w:tcPr>
            <w:tcW w:w="958" w:type="pct"/>
            <w:tcBorders>
              <w:top w:val="single" w:color="000000" w:sz="4" w:space="0"/>
              <w:left w:val="nil"/>
              <w:bottom w:val="single" w:color="000000" w:sz="4" w:space="0"/>
              <w:right w:val="single" w:color="000000" w:sz="4" w:space="0"/>
            </w:tcBorders>
            <w:shd w:val="clear" w:color="auto" w:fill="auto"/>
            <w:vAlign w:val="center"/>
          </w:tcPr>
          <w:p w14:paraId="608C8133">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3d</w:t>
            </w:r>
          </w:p>
        </w:tc>
        <w:tc>
          <w:tcPr>
            <w:tcW w:w="533" w:type="pct"/>
            <w:tcBorders>
              <w:top w:val="single" w:color="000000" w:sz="4" w:space="0"/>
              <w:left w:val="nil"/>
              <w:bottom w:val="single" w:color="000000" w:sz="4" w:space="0"/>
              <w:right w:val="single" w:color="000000" w:sz="4" w:space="0"/>
            </w:tcBorders>
            <w:shd w:val="clear" w:color="auto" w:fill="auto"/>
            <w:vAlign w:val="center"/>
          </w:tcPr>
          <w:p w14:paraId="42BD4C91">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0BD60823">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≤5</w:t>
            </w:r>
          </w:p>
        </w:tc>
        <w:tc>
          <w:tcPr>
            <w:tcW w:w="1519" w:type="pct"/>
            <w:vMerge w:val="continue"/>
            <w:tcBorders>
              <w:left w:val="nil"/>
              <w:bottom w:val="single" w:color="000000" w:sz="4" w:space="0"/>
              <w:right w:val="single" w:color="000000" w:sz="4" w:space="0"/>
            </w:tcBorders>
            <w:shd w:val="clear" w:color="auto" w:fill="auto"/>
            <w:vAlign w:val="center"/>
          </w:tcPr>
          <w:p w14:paraId="243D87C3">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Calibri"/>
                <w:kern w:val="2"/>
                <w:sz w:val="22"/>
                <w:szCs w:val="22"/>
                <w:lang w:val="en-US" w:eastAsia="zh-CN" w:bidi="ar"/>
              </w:rPr>
            </w:pPr>
          </w:p>
        </w:tc>
      </w:tr>
    </w:tbl>
    <w:p w14:paraId="668F9F18">
      <w:pPr>
        <w:pStyle w:val="2"/>
        <w:rPr>
          <w:rFonts w:hint="eastAsia"/>
          <w:lang w:val="en-US" w:eastAsia="zh-CN"/>
        </w:rPr>
      </w:pPr>
    </w:p>
    <w:p w14:paraId="15C1CE3D">
      <w:pPr>
        <w:pStyle w:val="2"/>
        <w:rPr>
          <w:rFonts w:hint="eastAsia"/>
          <w:lang w:val="en-US" w:eastAsia="zh-CN"/>
        </w:rPr>
      </w:pPr>
    </w:p>
    <w:p w14:paraId="759A3D67">
      <w:pPr>
        <w:pStyle w:val="2"/>
        <w:rPr>
          <w:rFonts w:hint="eastAsia"/>
          <w:lang w:val="en-US" w:eastAsia="zh-CN"/>
        </w:rPr>
      </w:pPr>
    </w:p>
    <w:p w14:paraId="082C4E88">
      <w:pPr>
        <w:pStyle w:val="2"/>
        <w:rPr>
          <w:rFonts w:hint="eastAsia"/>
          <w:lang w:val="en-US" w:eastAsia="zh-CN"/>
        </w:rPr>
      </w:pPr>
    </w:p>
    <w:p w14:paraId="08B89B61">
      <w:pPr>
        <w:pStyle w:val="2"/>
        <w:rPr>
          <w:rFonts w:hint="eastAsia"/>
          <w:lang w:val="en-US" w:eastAsia="zh-CN"/>
        </w:rPr>
      </w:pPr>
    </w:p>
    <w:p w14:paraId="7100FFB5">
      <w:pPr>
        <w:pStyle w:val="2"/>
        <w:jc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AC-13C</w:t>
      </w:r>
      <w:r>
        <w:rPr>
          <w:rFonts w:hint="eastAsia" w:ascii="宋体" w:hAnsi="宋体" w:cs="宋体"/>
          <w:b/>
          <w:bCs/>
          <w:i w:val="0"/>
          <w:iCs w:val="0"/>
          <w:color w:val="000000"/>
          <w:kern w:val="0"/>
          <w:sz w:val="22"/>
          <w:szCs w:val="22"/>
          <w:u w:val="none"/>
          <w:lang w:val="en-US" w:eastAsia="zh-CN" w:bidi="ar"/>
        </w:rPr>
        <w:t>细粒式、</w:t>
      </w:r>
      <w:r>
        <w:rPr>
          <w:rFonts w:hint="eastAsia" w:ascii="宋体" w:hAnsi="宋体" w:eastAsia="宋体" w:cs="宋体"/>
          <w:b/>
          <w:bCs/>
          <w:i w:val="0"/>
          <w:iCs w:val="0"/>
          <w:color w:val="000000"/>
          <w:kern w:val="0"/>
          <w:sz w:val="22"/>
          <w:szCs w:val="22"/>
          <w:u w:val="none"/>
          <w:lang w:val="en-US" w:eastAsia="zh-CN" w:bidi="ar"/>
        </w:rPr>
        <w:t>AC-16C</w:t>
      </w:r>
      <w:r>
        <w:rPr>
          <w:rFonts w:hint="eastAsia" w:ascii="宋体" w:hAnsi="宋体" w:cs="宋体"/>
          <w:b/>
          <w:bCs/>
          <w:i w:val="0"/>
          <w:iCs w:val="0"/>
          <w:color w:val="000000"/>
          <w:kern w:val="0"/>
          <w:sz w:val="22"/>
          <w:szCs w:val="22"/>
          <w:u w:val="none"/>
          <w:lang w:val="en-US" w:eastAsia="zh-CN" w:bidi="ar"/>
        </w:rPr>
        <w:t>中粒式</w:t>
      </w:r>
      <w:r>
        <w:rPr>
          <w:rFonts w:hint="eastAsia" w:ascii="宋体" w:hAnsi="宋体" w:eastAsia="宋体" w:cs="宋体"/>
          <w:b/>
          <w:bCs/>
          <w:i w:val="0"/>
          <w:iCs w:val="0"/>
          <w:color w:val="000000"/>
          <w:kern w:val="0"/>
          <w:sz w:val="22"/>
          <w:szCs w:val="22"/>
          <w:u w:val="none"/>
          <w:lang w:val="en-US" w:eastAsia="zh-CN" w:bidi="ar"/>
        </w:rPr>
        <w:t>沥青混凝土</w:t>
      </w:r>
    </w:p>
    <w:tbl>
      <w:tblPr>
        <w:tblStyle w:val="16"/>
        <w:tblpPr w:leftFromText="180" w:rightFromText="180" w:vertAnchor="text" w:horzAnchor="page" w:tblpXSpec="center" w:tblpY="60"/>
        <w:tblOverlap w:val="never"/>
        <w:tblW w:w="50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2176"/>
        <w:gridCol w:w="1785"/>
        <w:gridCol w:w="1430"/>
        <w:gridCol w:w="2639"/>
      </w:tblGrid>
      <w:tr w14:paraId="5442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6CDC8">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序号</w:t>
            </w:r>
          </w:p>
        </w:tc>
        <w:tc>
          <w:tcPr>
            <w:tcW w:w="1251" w:type="pct"/>
            <w:tcBorders>
              <w:top w:val="single" w:color="000000" w:sz="4" w:space="0"/>
              <w:left w:val="nil"/>
              <w:bottom w:val="single" w:color="000000" w:sz="4" w:space="0"/>
              <w:right w:val="single" w:color="000000" w:sz="4" w:space="0"/>
            </w:tcBorders>
            <w:shd w:val="clear" w:color="auto" w:fill="auto"/>
            <w:vAlign w:val="center"/>
          </w:tcPr>
          <w:p w14:paraId="412B4B37">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项</w:t>
            </w:r>
            <w:r>
              <w:rPr>
                <w:rFonts w:hint="eastAsia" w:ascii="Calibri" w:hAnsi="Calibri" w:eastAsia="宋体" w:cs="Times New Roman"/>
                <w:kern w:val="2"/>
                <w:sz w:val="22"/>
                <w:szCs w:val="22"/>
                <w:lang w:val="en-US" w:eastAsia="zh-CN" w:bidi="ar"/>
              </w:rPr>
              <w:t xml:space="preserve"> </w:t>
            </w:r>
            <w:r>
              <w:rPr>
                <w:rFonts w:hint="default" w:ascii="Calibri" w:hAnsi="Calibri" w:eastAsia="宋体" w:cs="Calibri"/>
                <w:kern w:val="2"/>
                <w:sz w:val="22"/>
                <w:szCs w:val="22"/>
                <w:lang w:val="en-US" w:eastAsia="zh-CN" w:bidi="ar"/>
              </w:rPr>
              <w:t xml:space="preserve"> </w:t>
            </w:r>
            <w:r>
              <w:rPr>
                <w:rFonts w:hint="eastAsia" w:ascii="宋体" w:hAnsi="宋体" w:eastAsia="宋体" w:cs="宋体"/>
                <w:kern w:val="2"/>
                <w:sz w:val="22"/>
                <w:szCs w:val="22"/>
                <w:lang w:val="en-US" w:eastAsia="zh-CN" w:bidi="ar"/>
              </w:rPr>
              <w:t>目</w:t>
            </w:r>
          </w:p>
        </w:tc>
        <w:tc>
          <w:tcPr>
            <w:tcW w:w="1026" w:type="pct"/>
            <w:tcBorders>
              <w:top w:val="single" w:color="000000" w:sz="4" w:space="0"/>
              <w:left w:val="nil"/>
              <w:bottom w:val="single" w:color="000000" w:sz="4" w:space="0"/>
              <w:right w:val="single" w:color="000000" w:sz="4" w:space="0"/>
            </w:tcBorders>
            <w:shd w:val="clear" w:color="auto" w:fill="auto"/>
            <w:vAlign w:val="center"/>
          </w:tcPr>
          <w:p w14:paraId="6B895377">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单位</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106692EF">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指标要求</w:t>
            </w:r>
          </w:p>
        </w:tc>
        <w:tc>
          <w:tcPr>
            <w:tcW w:w="1517" w:type="pct"/>
            <w:tcBorders>
              <w:top w:val="single" w:color="000000" w:sz="4" w:space="0"/>
              <w:left w:val="nil"/>
              <w:bottom w:val="single" w:color="000000" w:sz="4" w:space="0"/>
              <w:right w:val="single" w:color="000000" w:sz="4" w:space="0"/>
            </w:tcBorders>
            <w:shd w:val="clear" w:color="auto" w:fill="auto"/>
            <w:vAlign w:val="center"/>
          </w:tcPr>
          <w:p w14:paraId="4D9458C9">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测试方法</w:t>
            </w:r>
          </w:p>
        </w:tc>
      </w:tr>
      <w:tr w14:paraId="5B7A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D1C7">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default" w:ascii="Calibri" w:hAnsi="Calibri" w:eastAsia="宋体" w:cs="Calibri"/>
                <w:kern w:val="2"/>
                <w:sz w:val="22"/>
                <w:szCs w:val="22"/>
                <w:lang w:val="en-US" w:eastAsia="zh-CN" w:bidi="ar"/>
              </w:rPr>
              <w:t>1</w:t>
            </w:r>
          </w:p>
        </w:tc>
        <w:tc>
          <w:tcPr>
            <w:tcW w:w="1251" w:type="pct"/>
            <w:tcBorders>
              <w:top w:val="single" w:color="000000" w:sz="4" w:space="0"/>
              <w:left w:val="nil"/>
              <w:bottom w:val="single" w:color="000000" w:sz="4" w:space="0"/>
              <w:right w:val="single" w:color="000000" w:sz="4" w:space="0"/>
            </w:tcBorders>
            <w:shd w:val="clear" w:color="auto" w:fill="auto"/>
            <w:vAlign w:val="center"/>
          </w:tcPr>
          <w:p w14:paraId="4B9C68C7">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空隙率VV</w:t>
            </w:r>
          </w:p>
        </w:tc>
        <w:tc>
          <w:tcPr>
            <w:tcW w:w="1026" w:type="pct"/>
            <w:tcBorders>
              <w:top w:val="single" w:color="000000" w:sz="4" w:space="0"/>
              <w:left w:val="nil"/>
              <w:bottom w:val="single" w:color="000000" w:sz="4" w:space="0"/>
              <w:right w:val="single" w:color="000000" w:sz="4" w:space="0"/>
            </w:tcBorders>
            <w:shd w:val="clear" w:color="auto" w:fill="auto"/>
            <w:vAlign w:val="center"/>
          </w:tcPr>
          <w:p w14:paraId="237E7502">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Calibri" w:hAnsi="Calibri" w:cs="Calibri"/>
                <w:kern w:val="2"/>
                <w:sz w:val="22"/>
                <w:szCs w:val="22"/>
                <w:lang w:val="en-US" w:eastAsia="zh-CN" w:bidi="ar"/>
              </w:rPr>
              <w:t>%</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2E8B6097">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Times New Roman"/>
                <w:kern w:val="2"/>
                <w:sz w:val="22"/>
                <w:szCs w:val="22"/>
                <w:lang w:val="en-US"/>
              </w:rPr>
            </w:pPr>
            <w:r>
              <w:rPr>
                <w:rFonts w:hint="eastAsia" w:ascii="Calibri" w:hAnsi="Calibri" w:cs="Calibri"/>
                <w:kern w:val="2"/>
                <w:sz w:val="22"/>
                <w:szCs w:val="22"/>
                <w:lang w:val="en-US" w:eastAsia="zh-CN" w:bidi="ar"/>
              </w:rPr>
              <w:t>3</w:t>
            </w:r>
            <w:r>
              <w:rPr>
                <w:rFonts w:hint="default" w:ascii="Calibri" w:hAnsi="Calibri" w:cs="Calibri"/>
                <w:kern w:val="2"/>
                <w:sz w:val="22"/>
                <w:szCs w:val="22"/>
                <w:lang w:val="en-US" w:eastAsia="zh-CN" w:bidi="ar"/>
              </w:rPr>
              <w:t>~</w:t>
            </w:r>
            <w:r>
              <w:rPr>
                <w:rFonts w:hint="eastAsia" w:ascii="Calibri" w:hAnsi="Calibri" w:cs="Calibri"/>
                <w:kern w:val="2"/>
                <w:sz w:val="22"/>
                <w:szCs w:val="22"/>
                <w:lang w:val="en-US" w:eastAsia="zh-CN" w:bidi="ar"/>
              </w:rPr>
              <w:t>6</w:t>
            </w:r>
          </w:p>
        </w:tc>
        <w:tc>
          <w:tcPr>
            <w:tcW w:w="1517" w:type="pct"/>
            <w:tcBorders>
              <w:top w:val="single" w:color="000000" w:sz="4" w:space="0"/>
              <w:left w:val="nil"/>
              <w:bottom w:val="single" w:color="000000" w:sz="4" w:space="0"/>
              <w:right w:val="single" w:color="000000" w:sz="4" w:space="0"/>
            </w:tcBorders>
            <w:shd w:val="clear" w:color="auto" w:fill="auto"/>
            <w:vAlign w:val="center"/>
          </w:tcPr>
          <w:p w14:paraId="12DB5060">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Times New Roman"/>
                <w:kern w:val="2"/>
                <w:sz w:val="22"/>
                <w:szCs w:val="22"/>
                <w:lang w:val="en-US"/>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0702-2025</w:t>
            </w:r>
          </w:p>
        </w:tc>
      </w:tr>
      <w:tr w14:paraId="173BB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F952D">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default" w:ascii="Calibri" w:hAnsi="Calibri" w:eastAsia="宋体" w:cs="Calibri"/>
                <w:kern w:val="2"/>
                <w:sz w:val="22"/>
                <w:szCs w:val="22"/>
                <w:lang w:val="en-US" w:eastAsia="zh-CN" w:bidi="ar"/>
              </w:rPr>
              <w:t>2</w:t>
            </w:r>
          </w:p>
        </w:tc>
        <w:tc>
          <w:tcPr>
            <w:tcW w:w="1251" w:type="pct"/>
            <w:tcBorders>
              <w:top w:val="single" w:color="000000" w:sz="4" w:space="0"/>
              <w:left w:val="nil"/>
              <w:bottom w:val="single" w:color="000000" w:sz="4" w:space="0"/>
              <w:right w:val="single" w:color="000000" w:sz="4" w:space="0"/>
            </w:tcBorders>
            <w:shd w:val="clear" w:color="auto" w:fill="auto"/>
            <w:vAlign w:val="center"/>
          </w:tcPr>
          <w:p w14:paraId="305A7293">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矿料间隙率VMA</w:t>
            </w:r>
          </w:p>
        </w:tc>
        <w:tc>
          <w:tcPr>
            <w:tcW w:w="1026" w:type="pct"/>
            <w:tcBorders>
              <w:top w:val="single" w:color="000000" w:sz="4" w:space="0"/>
              <w:left w:val="nil"/>
              <w:bottom w:val="single" w:color="000000" w:sz="4" w:space="0"/>
              <w:right w:val="single" w:color="000000" w:sz="4" w:space="0"/>
            </w:tcBorders>
            <w:shd w:val="clear" w:color="auto" w:fill="auto"/>
            <w:vAlign w:val="center"/>
          </w:tcPr>
          <w:p w14:paraId="40C8D214">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Calibri" w:hAnsi="Calibri" w:cs="Calibri"/>
                <w:kern w:val="2"/>
                <w:sz w:val="22"/>
                <w:szCs w:val="22"/>
                <w:lang w:val="en-US" w:eastAsia="zh-CN" w:bidi="ar"/>
              </w:rPr>
              <w:t>%</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37E7B699">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Calibri"/>
                <w:kern w:val="2"/>
                <w:sz w:val="22"/>
                <w:szCs w:val="22"/>
                <w:lang w:val="en-US" w:eastAsia="zh-CN" w:bidi="ar"/>
              </w:rPr>
            </w:pPr>
            <w:r>
              <w:rPr>
                <w:rFonts w:hint="eastAsia" w:ascii="Calibri" w:hAnsi="Calibri" w:eastAsia="宋体" w:cs="Calibri"/>
                <w:kern w:val="2"/>
                <w:sz w:val="22"/>
                <w:szCs w:val="22"/>
                <w:lang w:val="en-US" w:eastAsia="zh-CN" w:bidi="ar"/>
              </w:rPr>
              <w:t>≥</w:t>
            </w:r>
            <w:r>
              <w:rPr>
                <w:rFonts w:hint="eastAsia" w:ascii="Calibri" w:hAnsi="Calibri" w:cs="Calibri"/>
                <w:kern w:val="2"/>
                <w:sz w:val="22"/>
                <w:szCs w:val="22"/>
                <w:lang w:val="en-US" w:eastAsia="zh-CN" w:bidi="ar"/>
              </w:rPr>
              <w:t>14</w:t>
            </w:r>
          </w:p>
        </w:tc>
        <w:tc>
          <w:tcPr>
            <w:tcW w:w="1517" w:type="pct"/>
            <w:tcBorders>
              <w:top w:val="single" w:color="000000" w:sz="4" w:space="0"/>
              <w:left w:val="nil"/>
              <w:bottom w:val="single" w:color="000000" w:sz="4" w:space="0"/>
              <w:right w:val="single" w:color="000000" w:sz="4" w:space="0"/>
            </w:tcBorders>
            <w:shd w:val="clear" w:color="auto" w:fill="auto"/>
            <w:vAlign w:val="center"/>
          </w:tcPr>
          <w:p w14:paraId="203C7906">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0702-2025</w:t>
            </w:r>
          </w:p>
        </w:tc>
      </w:tr>
      <w:tr w14:paraId="40AC8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A2C05">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default" w:ascii="Calibri" w:hAnsi="Calibri" w:eastAsia="宋体" w:cs="Calibri"/>
                <w:kern w:val="2"/>
                <w:sz w:val="22"/>
                <w:szCs w:val="22"/>
                <w:lang w:val="en-US" w:eastAsia="zh-CN" w:bidi="ar"/>
              </w:rPr>
              <w:t>3</w:t>
            </w:r>
          </w:p>
        </w:tc>
        <w:tc>
          <w:tcPr>
            <w:tcW w:w="1251" w:type="pct"/>
            <w:tcBorders>
              <w:top w:val="single" w:color="000000" w:sz="4" w:space="0"/>
              <w:left w:val="nil"/>
              <w:bottom w:val="single" w:color="000000" w:sz="4" w:space="0"/>
              <w:right w:val="single" w:color="000000" w:sz="4" w:space="0"/>
            </w:tcBorders>
            <w:shd w:val="clear" w:color="auto" w:fill="auto"/>
            <w:vAlign w:val="center"/>
          </w:tcPr>
          <w:p w14:paraId="0F3C3174">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沥青饱和度VMA</w:t>
            </w:r>
          </w:p>
        </w:tc>
        <w:tc>
          <w:tcPr>
            <w:tcW w:w="1026" w:type="pct"/>
            <w:tcBorders>
              <w:top w:val="single" w:color="000000" w:sz="4" w:space="0"/>
              <w:left w:val="nil"/>
              <w:bottom w:val="single" w:color="000000" w:sz="4" w:space="0"/>
              <w:right w:val="single" w:color="000000" w:sz="4" w:space="0"/>
            </w:tcBorders>
            <w:shd w:val="clear" w:color="auto" w:fill="auto"/>
            <w:vAlign w:val="center"/>
          </w:tcPr>
          <w:p w14:paraId="33302C1A">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Times New Roman"/>
                <w:kern w:val="2"/>
                <w:sz w:val="22"/>
                <w:szCs w:val="22"/>
                <w:lang w:val="en-US" w:eastAsia="zh-CN"/>
              </w:rPr>
            </w:pPr>
            <w:r>
              <w:rPr>
                <w:rFonts w:hint="eastAsia" w:ascii="Calibri" w:hAnsi="Calibri" w:cs="Times New Roman"/>
                <w:kern w:val="2"/>
                <w:sz w:val="22"/>
                <w:szCs w:val="22"/>
                <w:lang w:val="en-US" w:eastAsia="zh-CN"/>
              </w:rPr>
              <w:t>%</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6C6A57E8">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70</w:t>
            </w:r>
            <w:r>
              <w:rPr>
                <w:rFonts w:hint="default" w:ascii="Calibri" w:hAnsi="Calibri" w:cs="Times New Roman"/>
                <w:kern w:val="2"/>
                <w:sz w:val="22"/>
                <w:szCs w:val="22"/>
                <w:lang w:val="en-US" w:eastAsia="zh-CN"/>
              </w:rPr>
              <w:t>~</w:t>
            </w:r>
            <w:r>
              <w:rPr>
                <w:rFonts w:hint="eastAsia" w:ascii="Calibri" w:hAnsi="Calibri" w:cs="Times New Roman"/>
                <w:kern w:val="2"/>
                <w:sz w:val="22"/>
                <w:szCs w:val="22"/>
                <w:lang w:val="en-US" w:eastAsia="zh-CN"/>
              </w:rPr>
              <w:t>85</w:t>
            </w:r>
          </w:p>
        </w:tc>
        <w:tc>
          <w:tcPr>
            <w:tcW w:w="1517" w:type="pct"/>
            <w:tcBorders>
              <w:top w:val="single" w:color="000000" w:sz="4" w:space="0"/>
              <w:left w:val="nil"/>
              <w:bottom w:val="single" w:color="000000" w:sz="4" w:space="0"/>
              <w:right w:val="single" w:color="000000" w:sz="4" w:space="0"/>
            </w:tcBorders>
            <w:shd w:val="clear" w:color="auto" w:fill="auto"/>
            <w:vAlign w:val="center"/>
          </w:tcPr>
          <w:p w14:paraId="0721A24D">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Times New Roman"/>
                <w:kern w:val="2"/>
                <w:sz w:val="22"/>
                <w:szCs w:val="22"/>
                <w:lang w:val="en-US" w:eastAsia="zh-CN"/>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0702-2025</w:t>
            </w:r>
          </w:p>
        </w:tc>
      </w:tr>
      <w:tr w14:paraId="7F09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BD4C7">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default" w:ascii="Calibri" w:hAnsi="Calibri" w:eastAsia="宋体" w:cs="Calibri"/>
                <w:kern w:val="2"/>
                <w:sz w:val="22"/>
                <w:szCs w:val="22"/>
                <w:lang w:val="en-US" w:eastAsia="zh-CN" w:bidi="ar"/>
              </w:rPr>
              <w:t>4</w:t>
            </w:r>
          </w:p>
        </w:tc>
        <w:tc>
          <w:tcPr>
            <w:tcW w:w="1251" w:type="pct"/>
            <w:tcBorders>
              <w:top w:val="single" w:color="000000" w:sz="4" w:space="0"/>
              <w:left w:val="nil"/>
              <w:bottom w:val="single" w:color="000000" w:sz="4" w:space="0"/>
              <w:right w:val="single" w:color="000000" w:sz="4" w:space="0"/>
            </w:tcBorders>
            <w:shd w:val="clear" w:color="auto" w:fill="auto"/>
            <w:vAlign w:val="center"/>
          </w:tcPr>
          <w:p w14:paraId="74743D01">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流值FL</w:t>
            </w:r>
          </w:p>
        </w:tc>
        <w:tc>
          <w:tcPr>
            <w:tcW w:w="1026" w:type="pct"/>
            <w:tcBorders>
              <w:top w:val="single" w:color="000000" w:sz="4" w:space="0"/>
              <w:left w:val="nil"/>
              <w:bottom w:val="single" w:color="000000" w:sz="4" w:space="0"/>
              <w:right w:val="single" w:color="000000" w:sz="4" w:space="0"/>
            </w:tcBorders>
            <w:shd w:val="clear" w:color="auto" w:fill="auto"/>
            <w:vAlign w:val="center"/>
          </w:tcPr>
          <w:p w14:paraId="7779C22E">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Times New Roman"/>
                <w:kern w:val="2"/>
                <w:sz w:val="22"/>
                <w:szCs w:val="22"/>
                <w:lang w:val="en-US" w:eastAsia="zh-CN"/>
              </w:rPr>
            </w:pPr>
            <w:r>
              <w:rPr>
                <w:rFonts w:hint="eastAsia" w:ascii="Calibri" w:hAnsi="Calibri" w:cs="Times New Roman"/>
                <w:kern w:val="2"/>
                <w:sz w:val="22"/>
                <w:szCs w:val="22"/>
                <w:lang w:val="en-US" w:eastAsia="zh-CN"/>
              </w:rPr>
              <w:t>mm</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4B4EB22F">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2</w:t>
            </w:r>
            <w:r>
              <w:rPr>
                <w:rFonts w:hint="default" w:ascii="Calibri" w:hAnsi="Calibri" w:cs="Times New Roman"/>
                <w:kern w:val="2"/>
                <w:sz w:val="22"/>
                <w:szCs w:val="22"/>
                <w:lang w:val="en-US" w:eastAsia="zh-CN"/>
              </w:rPr>
              <w:t>~</w:t>
            </w:r>
            <w:r>
              <w:rPr>
                <w:rFonts w:hint="eastAsia" w:ascii="Calibri" w:hAnsi="Calibri" w:cs="Times New Roman"/>
                <w:kern w:val="2"/>
                <w:sz w:val="22"/>
                <w:szCs w:val="22"/>
                <w:lang w:val="en-US" w:eastAsia="zh-CN"/>
              </w:rPr>
              <w:t>4.5</w:t>
            </w:r>
          </w:p>
        </w:tc>
        <w:tc>
          <w:tcPr>
            <w:tcW w:w="1517" w:type="pct"/>
            <w:tcBorders>
              <w:top w:val="single" w:color="000000" w:sz="4" w:space="0"/>
              <w:left w:val="nil"/>
              <w:bottom w:val="single" w:color="000000" w:sz="4" w:space="0"/>
              <w:right w:val="single" w:color="000000" w:sz="4" w:space="0"/>
            </w:tcBorders>
            <w:shd w:val="clear" w:color="auto" w:fill="auto"/>
            <w:vAlign w:val="center"/>
          </w:tcPr>
          <w:p w14:paraId="552539AF">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Times New Roman"/>
                <w:kern w:val="2"/>
                <w:sz w:val="22"/>
                <w:szCs w:val="22"/>
                <w:lang w:val="en-US" w:eastAsia="zh-CN"/>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0702-2025</w:t>
            </w:r>
          </w:p>
        </w:tc>
      </w:tr>
      <w:tr w14:paraId="34EF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C763B">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default" w:ascii="Calibri" w:hAnsi="Calibri" w:eastAsia="宋体" w:cs="Calibri"/>
                <w:kern w:val="2"/>
                <w:sz w:val="22"/>
                <w:szCs w:val="22"/>
                <w:lang w:val="en-US" w:eastAsia="zh-CN" w:bidi="ar"/>
              </w:rPr>
              <w:t>5</w:t>
            </w:r>
          </w:p>
        </w:tc>
        <w:tc>
          <w:tcPr>
            <w:tcW w:w="1251" w:type="pct"/>
            <w:tcBorders>
              <w:top w:val="single" w:color="000000" w:sz="4" w:space="0"/>
              <w:left w:val="nil"/>
              <w:bottom w:val="single" w:color="000000" w:sz="4" w:space="0"/>
              <w:right w:val="single" w:color="000000" w:sz="4" w:space="0"/>
            </w:tcBorders>
            <w:shd w:val="clear" w:color="auto" w:fill="auto"/>
            <w:vAlign w:val="center"/>
          </w:tcPr>
          <w:p w14:paraId="179D7394">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稳定度MS</w:t>
            </w:r>
          </w:p>
        </w:tc>
        <w:tc>
          <w:tcPr>
            <w:tcW w:w="1026" w:type="pct"/>
            <w:tcBorders>
              <w:top w:val="single" w:color="000000" w:sz="4" w:space="0"/>
              <w:left w:val="nil"/>
              <w:bottom w:val="single" w:color="000000" w:sz="4" w:space="0"/>
              <w:right w:val="single" w:color="000000" w:sz="4" w:space="0"/>
            </w:tcBorders>
            <w:shd w:val="clear" w:color="auto" w:fill="auto"/>
            <w:vAlign w:val="center"/>
          </w:tcPr>
          <w:p w14:paraId="6F295F6A">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kN</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67BB830A">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≥5</w:t>
            </w:r>
          </w:p>
        </w:tc>
        <w:tc>
          <w:tcPr>
            <w:tcW w:w="1517" w:type="pct"/>
            <w:tcBorders>
              <w:top w:val="single" w:color="000000" w:sz="4" w:space="0"/>
              <w:left w:val="nil"/>
              <w:bottom w:val="single" w:color="000000" w:sz="4" w:space="0"/>
              <w:right w:val="single" w:color="000000" w:sz="4" w:space="0"/>
            </w:tcBorders>
            <w:shd w:val="clear" w:color="auto" w:fill="auto"/>
            <w:vAlign w:val="center"/>
          </w:tcPr>
          <w:p w14:paraId="5BBCE2E7">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cs="Times New Roman"/>
                <w:kern w:val="2"/>
                <w:sz w:val="22"/>
                <w:szCs w:val="22"/>
                <w:lang w:val="en-US" w:eastAsia="zh-CN"/>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0702-2025</w:t>
            </w:r>
          </w:p>
        </w:tc>
      </w:tr>
      <w:tr w14:paraId="635FB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3F0C">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Calibri"/>
                <w:kern w:val="2"/>
                <w:sz w:val="22"/>
                <w:szCs w:val="22"/>
                <w:lang w:val="en-US" w:eastAsia="zh-CN" w:bidi="ar"/>
              </w:rPr>
            </w:pPr>
            <w:r>
              <w:rPr>
                <w:rFonts w:hint="eastAsia" w:ascii="Calibri" w:hAnsi="Calibri" w:cs="Calibri"/>
                <w:kern w:val="2"/>
                <w:sz w:val="22"/>
                <w:szCs w:val="22"/>
                <w:lang w:val="en-US" w:eastAsia="zh-CN" w:bidi="ar"/>
              </w:rPr>
              <w:t>6</w:t>
            </w:r>
          </w:p>
        </w:tc>
        <w:tc>
          <w:tcPr>
            <w:tcW w:w="1251" w:type="pct"/>
            <w:tcBorders>
              <w:top w:val="single" w:color="000000" w:sz="4" w:space="0"/>
              <w:left w:val="nil"/>
              <w:bottom w:val="single" w:color="000000" w:sz="4" w:space="0"/>
              <w:right w:val="single" w:color="000000" w:sz="4" w:space="0"/>
            </w:tcBorders>
            <w:shd w:val="clear" w:color="auto" w:fill="auto"/>
            <w:vAlign w:val="center"/>
          </w:tcPr>
          <w:p w14:paraId="5AED4E6F">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动稳定度</w:t>
            </w:r>
          </w:p>
        </w:tc>
        <w:tc>
          <w:tcPr>
            <w:tcW w:w="1026" w:type="pct"/>
            <w:tcBorders>
              <w:top w:val="single" w:color="000000" w:sz="4" w:space="0"/>
              <w:left w:val="nil"/>
              <w:bottom w:val="single" w:color="000000" w:sz="4" w:space="0"/>
              <w:right w:val="single" w:color="000000" w:sz="4" w:space="0"/>
            </w:tcBorders>
            <w:shd w:val="clear" w:color="auto" w:fill="auto"/>
            <w:vAlign w:val="center"/>
          </w:tcPr>
          <w:p w14:paraId="03BAE7A3">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次/mm</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60DF4DBC">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≥1000</w:t>
            </w:r>
          </w:p>
        </w:tc>
        <w:tc>
          <w:tcPr>
            <w:tcW w:w="1517" w:type="pct"/>
            <w:tcBorders>
              <w:top w:val="single" w:color="000000" w:sz="4" w:space="0"/>
              <w:left w:val="nil"/>
              <w:bottom w:val="single" w:color="000000" w:sz="4" w:space="0"/>
              <w:right w:val="single" w:color="000000" w:sz="4" w:space="0"/>
            </w:tcBorders>
            <w:shd w:val="clear" w:color="auto" w:fill="auto"/>
            <w:vAlign w:val="center"/>
          </w:tcPr>
          <w:p w14:paraId="490C71EA">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Calibri"/>
                <w:kern w:val="2"/>
                <w:sz w:val="22"/>
                <w:szCs w:val="22"/>
                <w:lang w:val="en-US" w:eastAsia="zh-CN" w:bidi="ar"/>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0719-2025</w:t>
            </w:r>
          </w:p>
        </w:tc>
      </w:tr>
    </w:tbl>
    <w:p w14:paraId="62B09D06">
      <w:pPr>
        <w:pStyle w:val="2"/>
        <w:jc w:val="center"/>
        <w:rPr>
          <w:rFonts w:hint="eastAsia" w:ascii="宋体" w:hAnsi="宋体" w:eastAsia="宋体" w:cs="宋体"/>
          <w:b/>
          <w:bCs/>
          <w:i w:val="0"/>
          <w:iCs w:val="0"/>
          <w:color w:val="000000"/>
          <w:kern w:val="0"/>
          <w:sz w:val="22"/>
          <w:szCs w:val="22"/>
          <w:u w:val="none"/>
          <w:lang w:val="en-US" w:eastAsia="zh-CN" w:bidi="ar"/>
        </w:rPr>
      </w:pPr>
    </w:p>
    <w:p w14:paraId="2AD68530">
      <w:pPr>
        <w:pStyle w:val="2"/>
        <w:jc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LB-16中粒式新型冷补料</w:t>
      </w:r>
    </w:p>
    <w:tbl>
      <w:tblPr>
        <w:tblStyle w:val="16"/>
        <w:tblpPr w:leftFromText="180" w:rightFromText="180" w:vertAnchor="text" w:horzAnchor="page" w:tblpXSpec="center" w:tblpY="60"/>
        <w:tblOverlap w:val="never"/>
        <w:tblW w:w="50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2176"/>
        <w:gridCol w:w="1784"/>
        <w:gridCol w:w="1430"/>
        <w:gridCol w:w="2640"/>
      </w:tblGrid>
      <w:tr w14:paraId="720A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3ACFB">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序号</w:t>
            </w:r>
          </w:p>
        </w:tc>
        <w:tc>
          <w:tcPr>
            <w:tcW w:w="1251" w:type="pct"/>
            <w:tcBorders>
              <w:top w:val="single" w:color="000000" w:sz="4" w:space="0"/>
              <w:left w:val="nil"/>
              <w:bottom w:val="single" w:color="000000" w:sz="4" w:space="0"/>
              <w:right w:val="single" w:color="000000" w:sz="4" w:space="0"/>
            </w:tcBorders>
            <w:shd w:val="clear" w:color="auto" w:fill="auto"/>
            <w:vAlign w:val="center"/>
          </w:tcPr>
          <w:p w14:paraId="4A6F3AB6">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项</w:t>
            </w:r>
            <w:r>
              <w:rPr>
                <w:rFonts w:hint="eastAsia" w:ascii="Calibri" w:hAnsi="Calibri" w:eastAsia="宋体" w:cs="Times New Roman"/>
                <w:kern w:val="2"/>
                <w:sz w:val="22"/>
                <w:szCs w:val="22"/>
                <w:lang w:val="en-US" w:eastAsia="zh-CN" w:bidi="ar"/>
              </w:rPr>
              <w:t xml:space="preserve"> </w:t>
            </w:r>
            <w:r>
              <w:rPr>
                <w:rFonts w:hint="default" w:ascii="Calibri" w:hAnsi="Calibri" w:eastAsia="宋体" w:cs="Calibri"/>
                <w:kern w:val="2"/>
                <w:sz w:val="22"/>
                <w:szCs w:val="22"/>
                <w:lang w:val="en-US" w:eastAsia="zh-CN" w:bidi="ar"/>
              </w:rPr>
              <w:t xml:space="preserve"> </w:t>
            </w:r>
            <w:r>
              <w:rPr>
                <w:rFonts w:hint="eastAsia" w:ascii="宋体" w:hAnsi="宋体" w:eastAsia="宋体" w:cs="宋体"/>
                <w:kern w:val="2"/>
                <w:sz w:val="22"/>
                <w:szCs w:val="22"/>
                <w:lang w:val="en-US" w:eastAsia="zh-CN" w:bidi="ar"/>
              </w:rPr>
              <w:t>目</w:t>
            </w:r>
          </w:p>
        </w:tc>
        <w:tc>
          <w:tcPr>
            <w:tcW w:w="1026" w:type="pct"/>
            <w:tcBorders>
              <w:top w:val="single" w:color="000000" w:sz="4" w:space="0"/>
              <w:left w:val="nil"/>
              <w:bottom w:val="single" w:color="000000" w:sz="4" w:space="0"/>
              <w:right w:val="single" w:color="000000" w:sz="4" w:space="0"/>
            </w:tcBorders>
            <w:shd w:val="clear" w:color="auto" w:fill="auto"/>
            <w:vAlign w:val="center"/>
          </w:tcPr>
          <w:p w14:paraId="22ECF156">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单位</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1F8B2885">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指标要求</w:t>
            </w:r>
          </w:p>
        </w:tc>
        <w:tc>
          <w:tcPr>
            <w:tcW w:w="1518" w:type="pct"/>
            <w:tcBorders>
              <w:top w:val="single" w:color="000000" w:sz="4" w:space="0"/>
              <w:left w:val="nil"/>
              <w:bottom w:val="single" w:color="000000" w:sz="4" w:space="0"/>
              <w:right w:val="single" w:color="000000" w:sz="4" w:space="0"/>
            </w:tcBorders>
            <w:shd w:val="clear" w:color="auto" w:fill="auto"/>
            <w:vAlign w:val="center"/>
          </w:tcPr>
          <w:p w14:paraId="459B270C">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测试方法</w:t>
            </w:r>
          </w:p>
        </w:tc>
      </w:tr>
      <w:tr w14:paraId="487E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4ABA7">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default" w:ascii="Calibri" w:hAnsi="Calibri" w:eastAsia="宋体" w:cs="Calibri"/>
                <w:kern w:val="2"/>
                <w:sz w:val="22"/>
                <w:szCs w:val="22"/>
                <w:lang w:val="en-US" w:eastAsia="zh-CN" w:bidi="ar"/>
              </w:rPr>
              <w:t>1</w:t>
            </w:r>
          </w:p>
        </w:tc>
        <w:tc>
          <w:tcPr>
            <w:tcW w:w="1251" w:type="pct"/>
            <w:tcBorders>
              <w:top w:val="single" w:color="000000" w:sz="4" w:space="0"/>
              <w:left w:val="nil"/>
              <w:bottom w:val="single" w:color="000000" w:sz="4" w:space="0"/>
              <w:right w:val="single" w:color="000000" w:sz="4" w:space="0"/>
            </w:tcBorders>
            <w:shd w:val="clear" w:color="auto" w:fill="auto"/>
            <w:vAlign w:val="center"/>
          </w:tcPr>
          <w:p w14:paraId="000A3A37">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浸水稳定度MS</w:t>
            </w:r>
          </w:p>
        </w:tc>
        <w:tc>
          <w:tcPr>
            <w:tcW w:w="1026" w:type="pct"/>
            <w:tcBorders>
              <w:top w:val="single" w:color="000000" w:sz="4" w:space="0"/>
              <w:left w:val="nil"/>
              <w:bottom w:val="single" w:color="000000" w:sz="4" w:space="0"/>
              <w:right w:val="single" w:color="000000" w:sz="4" w:space="0"/>
            </w:tcBorders>
            <w:shd w:val="clear" w:color="auto" w:fill="auto"/>
            <w:vAlign w:val="center"/>
          </w:tcPr>
          <w:p w14:paraId="4652F249">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Calibri" w:hAnsi="Calibri" w:cs="Times New Roman"/>
                <w:kern w:val="2"/>
                <w:sz w:val="22"/>
                <w:szCs w:val="22"/>
                <w:lang w:val="en-US" w:eastAsia="zh-CN"/>
              </w:rPr>
              <w:t>kN</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2338E03D">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Times New Roman"/>
                <w:kern w:val="2"/>
                <w:sz w:val="22"/>
                <w:szCs w:val="22"/>
                <w:lang w:val="en-US"/>
              </w:rPr>
            </w:pPr>
            <w:r>
              <w:rPr>
                <w:rFonts w:hint="eastAsia" w:ascii="Calibri" w:hAnsi="Calibri" w:cs="Times New Roman"/>
                <w:kern w:val="2"/>
                <w:sz w:val="22"/>
                <w:szCs w:val="22"/>
                <w:lang w:val="en-US" w:eastAsia="zh-CN"/>
              </w:rPr>
              <w:t>≥3</w:t>
            </w:r>
          </w:p>
        </w:tc>
        <w:tc>
          <w:tcPr>
            <w:tcW w:w="1518" w:type="pct"/>
            <w:tcBorders>
              <w:top w:val="single" w:color="000000" w:sz="4" w:space="0"/>
              <w:left w:val="nil"/>
              <w:bottom w:val="single" w:color="000000" w:sz="4" w:space="0"/>
              <w:right w:val="single" w:color="000000" w:sz="4" w:space="0"/>
            </w:tcBorders>
            <w:shd w:val="clear" w:color="auto" w:fill="auto"/>
            <w:vAlign w:val="center"/>
          </w:tcPr>
          <w:p w14:paraId="6D5AAE16">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Times New Roman"/>
                <w:kern w:val="2"/>
                <w:sz w:val="22"/>
                <w:szCs w:val="22"/>
                <w:lang w:val="en-US"/>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0767-2025</w:t>
            </w:r>
          </w:p>
        </w:tc>
      </w:tr>
      <w:tr w14:paraId="13613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154E9">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default" w:ascii="Calibri" w:hAnsi="Calibri" w:eastAsia="宋体" w:cs="Calibri"/>
                <w:kern w:val="2"/>
                <w:sz w:val="22"/>
                <w:szCs w:val="22"/>
                <w:lang w:val="en-US" w:eastAsia="zh-CN" w:bidi="ar"/>
              </w:rPr>
              <w:t>2</w:t>
            </w:r>
          </w:p>
        </w:tc>
        <w:tc>
          <w:tcPr>
            <w:tcW w:w="1251" w:type="pct"/>
            <w:tcBorders>
              <w:top w:val="single" w:color="000000" w:sz="4" w:space="0"/>
              <w:left w:val="nil"/>
              <w:bottom w:val="single" w:color="000000" w:sz="4" w:space="0"/>
              <w:right w:val="single" w:color="000000" w:sz="4" w:space="0"/>
            </w:tcBorders>
            <w:shd w:val="clear" w:color="auto" w:fill="auto"/>
            <w:vAlign w:val="center"/>
          </w:tcPr>
          <w:p w14:paraId="29799DA6">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cs="Times New Roman"/>
                <w:kern w:val="2"/>
                <w:sz w:val="22"/>
                <w:szCs w:val="22"/>
                <w:lang w:val="en-US" w:eastAsia="zh-CN"/>
              </w:rPr>
            </w:pPr>
            <w:r>
              <w:rPr>
                <w:rFonts w:hint="eastAsia" w:ascii="Calibri" w:hAnsi="Calibri" w:cs="Times New Roman"/>
                <w:kern w:val="2"/>
                <w:sz w:val="22"/>
                <w:szCs w:val="22"/>
                <w:lang w:val="en-US" w:eastAsia="zh-CN"/>
              </w:rPr>
              <w:t>破损率P</w:t>
            </w:r>
          </w:p>
        </w:tc>
        <w:tc>
          <w:tcPr>
            <w:tcW w:w="1026" w:type="pct"/>
            <w:tcBorders>
              <w:top w:val="single" w:color="000000" w:sz="4" w:space="0"/>
              <w:left w:val="nil"/>
              <w:bottom w:val="single" w:color="000000" w:sz="4" w:space="0"/>
              <w:right w:val="single" w:color="000000" w:sz="4" w:space="0"/>
            </w:tcBorders>
            <w:shd w:val="clear" w:color="auto" w:fill="auto"/>
            <w:vAlign w:val="center"/>
          </w:tcPr>
          <w:p w14:paraId="4F3293F7">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eastAsia" w:ascii="Calibri" w:hAnsi="Calibri" w:cs="Calibri"/>
                <w:kern w:val="2"/>
                <w:sz w:val="22"/>
                <w:szCs w:val="22"/>
                <w:lang w:val="en-US" w:eastAsia="zh-CN" w:bidi="ar"/>
              </w:rPr>
              <w:t>%</w:t>
            </w:r>
          </w:p>
        </w:tc>
        <w:tc>
          <w:tcPr>
            <w:tcW w:w="822" w:type="pct"/>
            <w:tcBorders>
              <w:top w:val="single" w:color="000000" w:sz="4" w:space="0"/>
              <w:left w:val="nil"/>
              <w:bottom w:val="single" w:color="000000" w:sz="4" w:space="0"/>
              <w:right w:val="single" w:color="000000" w:sz="4" w:space="0"/>
            </w:tcBorders>
            <w:shd w:val="clear" w:color="auto" w:fill="auto"/>
            <w:vAlign w:val="center"/>
          </w:tcPr>
          <w:p w14:paraId="55207FC2">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default" w:ascii="Calibri" w:hAnsi="Calibri" w:eastAsia="宋体" w:cs="Calibri"/>
                <w:kern w:val="2"/>
                <w:sz w:val="22"/>
                <w:szCs w:val="22"/>
                <w:lang w:val="en-US" w:eastAsia="zh-CN" w:bidi="ar"/>
              </w:rPr>
            </w:pPr>
            <w:r>
              <w:rPr>
                <w:rFonts w:hint="eastAsia" w:ascii="Calibri" w:hAnsi="Calibri" w:cs="Calibri"/>
                <w:kern w:val="2"/>
                <w:sz w:val="22"/>
                <w:szCs w:val="22"/>
                <w:lang w:val="en-US" w:eastAsia="zh-CN" w:bidi="ar"/>
              </w:rPr>
              <w:t>≤5</w:t>
            </w:r>
          </w:p>
        </w:tc>
        <w:tc>
          <w:tcPr>
            <w:tcW w:w="1518" w:type="pct"/>
            <w:tcBorders>
              <w:top w:val="single" w:color="000000" w:sz="4" w:space="0"/>
              <w:left w:val="nil"/>
              <w:bottom w:val="single" w:color="000000" w:sz="4" w:space="0"/>
              <w:right w:val="single" w:color="000000" w:sz="4" w:space="0"/>
            </w:tcBorders>
            <w:shd w:val="clear" w:color="auto" w:fill="auto"/>
            <w:vAlign w:val="center"/>
          </w:tcPr>
          <w:p w14:paraId="08610B16">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Calibri" w:hAnsi="Calibri" w:eastAsia="宋体" w:cs="Times New Roman"/>
                <w:kern w:val="2"/>
                <w:sz w:val="22"/>
                <w:szCs w:val="22"/>
              </w:rPr>
            </w:pPr>
            <w:r>
              <w:rPr>
                <w:rFonts w:hint="default" w:ascii="Calibri" w:hAnsi="Calibri" w:eastAsia="宋体" w:cs="Calibri"/>
                <w:kern w:val="2"/>
                <w:sz w:val="22"/>
                <w:szCs w:val="22"/>
                <w:lang w:val="en-US" w:eastAsia="zh-CN" w:bidi="ar"/>
              </w:rPr>
              <w:t>JTG</w:t>
            </w:r>
            <w:r>
              <w:rPr>
                <w:rFonts w:hint="eastAsia" w:ascii="Calibri" w:hAnsi="Calibri" w:cs="Calibri"/>
                <w:kern w:val="2"/>
                <w:sz w:val="22"/>
                <w:szCs w:val="22"/>
                <w:lang w:val="en-US" w:eastAsia="zh-CN" w:bidi="ar"/>
              </w:rPr>
              <w:t>3410</w:t>
            </w:r>
            <w:r>
              <w:rPr>
                <w:rFonts w:hint="default" w:ascii="Calibri" w:hAnsi="Calibri" w:eastAsia="宋体" w:cs="Calibri"/>
                <w:kern w:val="2"/>
                <w:sz w:val="22"/>
                <w:szCs w:val="22"/>
                <w:lang w:val="en-US" w:eastAsia="zh-CN" w:bidi="ar"/>
              </w:rPr>
              <w:t>-20</w:t>
            </w:r>
            <w:r>
              <w:rPr>
                <w:rFonts w:hint="eastAsia" w:ascii="Calibri" w:hAnsi="Calibri" w:cs="Calibri"/>
                <w:kern w:val="2"/>
                <w:sz w:val="22"/>
                <w:szCs w:val="22"/>
                <w:lang w:val="en-US" w:eastAsia="zh-CN" w:bidi="ar"/>
              </w:rPr>
              <w:t>25</w:t>
            </w:r>
            <w:r>
              <w:rPr>
                <w:rFonts w:hint="default" w:ascii="Calibri" w:hAnsi="Calibri" w:eastAsia="宋体" w:cs="Calibri"/>
                <w:kern w:val="2"/>
                <w:sz w:val="22"/>
                <w:szCs w:val="22"/>
                <w:lang w:val="en-US" w:eastAsia="zh-CN" w:bidi="ar"/>
              </w:rPr>
              <w:t>/T</w:t>
            </w:r>
            <w:r>
              <w:rPr>
                <w:rFonts w:hint="eastAsia" w:ascii="Calibri" w:hAnsi="Calibri" w:cs="Calibri"/>
                <w:kern w:val="2"/>
                <w:sz w:val="22"/>
                <w:szCs w:val="22"/>
                <w:lang w:val="en-US" w:eastAsia="zh-CN" w:bidi="ar"/>
              </w:rPr>
              <w:t>0770-2025</w:t>
            </w:r>
          </w:p>
        </w:tc>
      </w:tr>
    </w:tbl>
    <w:p w14:paraId="421CEB36">
      <w:pPr>
        <w:pStyle w:val="2"/>
        <w:ind w:left="0" w:leftChars="0" w:firstLine="0" w:firstLineChars="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736424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5" w:name="_Toc11967"/>
      <w:bookmarkStart w:id="26" w:name="_Toc30179"/>
      <w:r>
        <w:rPr>
          <w:rFonts w:hint="eastAsia"/>
          <w:lang w:val="en-US" w:eastAsia="zh-CN"/>
        </w:rPr>
        <w:t>评选办法</w:t>
      </w:r>
      <w:bookmarkEnd w:id="25"/>
      <w:bookmarkEnd w:id="26"/>
    </w:p>
    <w:p w14:paraId="0BCF2E77">
      <w:pPr>
        <w:pStyle w:val="5"/>
        <w:numPr>
          <w:ilvl w:val="0"/>
          <w:numId w:val="3"/>
        </w:numPr>
        <w:bidi w:val="0"/>
        <w:rPr>
          <w:rFonts w:hint="eastAsia"/>
          <w:lang w:val="en-US" w:eastAsia="zh-CN"/>
        </w:rPr>
      </w:pPr>
      <w:bookmarkStart w:id="27" w:name="_Toc3675"/>
      <w:r>
        <w:rPr>
          <w:rFonts w:hint="eastAsia"/>
          <w:lang w:val="en-US" w:eastAsia="zh-CN"/>
        </w:rPr>
        <w:t>基本原则</w:t>
      </w:r>
      <w:bookmarkEnd w:id="27"/>
    </w:p>
    <w:p w14:paraId="20095B5D">
      <w:pPr>
        <w:bidi w:val="0"/>
        <w:rPr>
          <w:rFonts w:hint="eastAsia"/>
          <w:lang w:val="en-US" w:eastAsia="zh-CN"/>
        </w:rPr>
      </w:pPr>
      <w:r>
        <w:rPr>
          <w:rFonts w:hint="eastAsia"/>
          <w:lang w:val="en-US" w:eastAsia="zh-CN"/>
        </w:rPr>
        <w:t>1、评审应遵循公平、公正、科学、择优的原则。</w:t>
      </w:r>
    </w:p>
    <w:p w14:paraId="44002706">
      <w:pPr>
        <w:bidi w:val="0"/>
        <w:rPr>
          <w:rFonts w:hint="eastAsia"/>
          <w:lang w:val="en-US" w:eastAsia="zh-CN"/>
        </w:rPr>
      </w:pPr>
      <w:r>
        <w:rPr>
          <w:rFonts w:hint="eastAsia"/>
          <w:lang w:val="en-US" w:eastAsia="zh-CN"/>
        </w:rPr>
        <w:t>2、本次评审为递交响应文件的所有合格供应商提供公平的竞争机会。</w:t>
      </w:r>
    </w:p>
    <w:p w14:paraId="53F21ED1">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6C5F92BD">
      <w:pPr>
        <w:pStyle w:val="5"/>
        <w:numPr>
          <w:ilvl w:val="0"/>
          <w:numId w:val="3"/>
        </w:numPr>
        <w:bidi w:val="0"/>
        <w:rPr>
          <w:rFonts w:hint="eastAsia"/>
          <w:lang w:val="en-US" w:eastAsia="zh-CN"/>
        </w:rPr>
      </w:pPr>
      <w:bookmarkStart w:id="28" w:name="_Toc19036"/>
      <w:r>
        <w:rPr>
          <w:rFonts w:hint="eastAsia"/>
          <w:lang w:val="en-US" w:eastAsia="zh-CN"/>
        </w:rPr>
        <w:t>评审程序</w:t>
      </w:r>
      <w:bookmarkEnd w:id="28"/>
    </w:p>
    <w:p w14:paraId="5924CC38">
      <w:pPr>
        <w:bidi w:val="0"/>
        <w:rPr>
          <w:rFonts w:hint="eastAsia"/>
          <w:lang w:val="en-US" w:eastAsia="zh-CN"/>
        </w:rPr>
      </w:pPr>
      <w:r>
        <w:rPr>
          <w:rFonts w:hint="eastAsia"/>
          <w:lang w:val="en-US" w:eastAsia="zh-CN"/>
        </w:rPr>
        <w:t>1、组建评审小组</w:t>
      </w:r>
    </w:p>
    <w:p w14:paraId="164B224D">
      <w:pPr>
        <w:bidi w:val="0"/>
        <w:rPr>
          <w:rFonts w:hint="eastAsia"/>
          <w:lang w:val="en-US" w:eastAsia="zh-CN"/>
        </w:rPr>
      </w:pPr>
      <w:r>
        <w:rPr>
          <w:rFonts w:hint="eastAsia"/>
          <w:lang w:val="en-US" w:eastAsia="zh-CN"/>
        </w:rPr>
        <w:t>由选择人根据本次选择的特点组建评审小组，成员人数见本选择文件响应人须知。</w:t>
      </w:r>
    </w:p>
    <w:p w14:paraId="617470B7">
      <w:pPr>
        <w:bidi w:val="0"/>
        <w:rPr>
          <w:rFonts w:hint="eastAsia"/>
          <w:lang w:val="en-US" w:eastAsia="zh-CN"/>
        </w:rPr>
      </w:pPr>
      <w:r>
        <w:rPr>
          <w:rFonts w:hint="eastAsia"/>
          <w:lang w:val="en-US" w:eastAsia="zh-CN"/>
        </w:rPr>
        <w:t>2、评审小组工作原则</w:t>
      </w:r>
    </w:p>
    <w:p w14:paraId="34B73516">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7D3558F7">
      <w:pPr>
        <w:bidi w:val="0"/>
        <w:rPr>
          <w:rFonts w:hint="eastAsia"/>
          <w:lang w:val="en-US" w:eastAsia="zh-CN"/>
        </w:rPr>
      </w:pPr>
      <w:r>
        <w:rPr>
          <w:rFonts w:hint="eastAsia"/>
          <w:lang w:val="en-US" w:eastAsia="zh-CN"/>
        </w:rPr>
        <w:t>3、评审程序和内容</w:t>
      </w:r>
    </w:p>
    <w:p w14:paraId="7C4CC369">
      <w:pPr>
        <w:bidi w:val="0"/>
        <w:rPr>
          <w:rFonts w:hint="eastAsia"/>
          <w:lang w:val="en-US" w:eastAsia="zh-CN"/>
        </w:rPr>
      </w:pPr>
      <w:r>
        <w:rPr>
          <w:rFonts w:hint="eastAsia"/>
          <w:lang w:val="en-US" w:eastAsia="zh-CN"/>
        </w:rPr>
        <w:t>(1) 本项目选择由选择人主持，宣布评审的有关事项。</w:t>
      </w:r>
    </w:p>
    <w:p w14:paraId="1BDCC83D">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383B7DBB">
      <w:pPr>
        <w:bidi w:val="0"/>
        <w:rPr>
          <w:rFonts w:hint="eastAsia"/>
          <w:lang w:val="en-US" w:eastAsia="zh-CN"/>
        </w:rPr>
      </w:pPr>
      <w:r>
        <w:rPr>
          <w:rFonts w:hint="eastAsia"/>
          <w:lang w:val="en-US" w:eastAsia="zh-CN"/>
        </w:rPr>
        <w:t>(3) 评审小组对通过形式评审的响应单位就报价等要素进行评审。</w:t>
      </w:r>
    </w:p>
    <w:p w14:paraId="45376C78">
      <w:pPr>
        <w:bidi w:val="0"/>
        <w:rPr>
          <w:rFonts w:hint="eastAsia"/>
          <w:lang w:val="en-US" w:eastAsia="zh-CN"/>
        </w:rPr>
      </w:pPr>
      <w:r>
        <w:rPr>
          <w:rFonts w:hint="eastAsia"/>
          <w:lang w:val="en-US" w:eastAsia="zh-CN"/>
        </w:rPr>
        <w:t>(4) 完成选择报告，推荐候选合作单位。</w:t>
      </w:r>
    </w:p>
    <w:p w14:paraId="02B376BD">
      <w:pPr>
        <w:pStyle w:val="5"/>
        <w:numPr>
          <w:ilvl w:val="0"/>
          <w:numId w:val="3"/>
        </w:numPr>
        <w:bidi w:val="0"/>
        <w:rPr>
          <w:rFonts w:hint="eastAsia"/>
          <w:lang w:val="en-US" w:eastAsia="zh-CN"/>
        </w:rPr>
      </w:pPr>
      <w:bookmarkStart w:id="29" w:name="_Toc5960"/>
      <w:r>
        <w:rPr>
          <w:rFonts w:hint="eastAsia"/>
          <w:lang w:val="en-US" w:eastAsia="zh-CN"/>
        </w:rPr>
        <w:t>评审办法</w:t>
      </w:r>
      <w:bookmarkEnd w:id="29"/>
    </w:p>
    <w:p w14:paraId="44493FCB">
      <w:pPr>
        <w:rPr>
          <w:rFonts w:hint="default"/>
        </w:rPr>
      </w:pPr>
      <w:r>
        <w:rPr>
          <w:rFonts w:hint="eastAsia"/>
          <w:lang w:val="en-US" w:eastAsia="zh-CN"/>
        </w:rPr>
        <w:t>本次评标采用：</w:t>
      </w: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default"/>
        </w:rPr>
        <w:t>。</w:t>
      </w:r>
    </w:p>
    <w:p w14:paraId="4938E6D0">
      <w:pPr>
        <w:pStyle w:val="2"/>
        <w:ind w:left="0" w:leftChars="0" w:firstLine="0" w:firstLineChars="0"/>
        <w:rPr>
          <w:rFonts w:hint="eastAsia"/>
          <w:lang w:val="en-US" w:eastAsia="zh-CN"/>
        </w:rPr>
      </w:pPr>
    </w:p>
    <w:p w14:paraId="33E00D88">
      <w:pPr>
        <w:pStyle w:val="2"/>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4E7884A">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30" w:name="_Toc14696"/>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0"/>
    </w:p>
    <w:p w14:paraId="180A41E3">
      <w:pPr>
        <w:numPr>
          <w:ilvl w:val="0"/>
          <w:numId w:val="0"/>
        </w:numPr>
        <w:ind w:leftChars="200"/>
        <w:rPr>
          <w:rFonts w:hint="eastAsia"/>
          <w:lang w:val="en-US" w:eastAsia="zh-CN"/>
        </w:rPr>
      </w:pPr>
    </w:p>
    <w:p w14:paraId="4BE05C8C">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lang w:val="en-US" w:eastAsia="zh-CN"/>
        </w:rPr>
        <w:t>详见下一页。</w:t>
      </w:r>
    </w:p>
    <w:p w14:paraId="3CA97F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bCs/>
          <w:sz w:val="44"/>
          <w:szCs w:val="44"/>
          <w:lang w:val="en-US" w:eastAsia="zh-CN"/>
        </w:rPr>
      </w:pPr>
      <w:r>
        <w:rPr>
          <w:rFonts w:hint="eastAsia" w:eastAsia="宋体"/>
          <w:b/>
          <w:bCs/>
          <w:sz w:val="44"/>
          <w:szCs w:val="44"/>
          <w:lang w:val="en-US" w:eastAsia="zh-CN"/>
        </w:rPr>
        <w:t>湖州南太湖新区市本级移交道路</w:t>
      </w:r>
    </w:p>
    <w:p w14:paraId="651A2D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52"/>
          <w:szCs w:val="52"/>
          <w:lang w:eastAsia="zh-CN"/>
        </w:rPr>
      </w:pPr>
      <w:r>
        <w:rPr>
          <w:rFonts w:hint="eastAsia" w:eastAsia="宋体"/>
          <w:b/>
          <w:bCs/>
          <w:sz w:val="44"/>
          <w:szCs w:val="44"/>
          <w:lang w:val="en-US" w:eastAsia="zh-CN"/>
        </w:rPr>
        <w:t>维修养护项目（2025-2027年度）</w:t>
      </w:r>
    </w:p>
    <w:p w14:paraId="39ABB4D6">
      <w:pPr>
        <w:pStyle w:val="2"/>
        <w:rPr>
          <w:rFonts w:hint="default"/>
          <w:lang w:val="en-US" w:eastAsia="zh-CN"/>
        </w:rPr>
      </w:pPr>
    </w:p>
    <w:p w14:paraId="00769D05">
      <w:pPr>
        <w:pStyle w:val="2"/>
        <w:rPr>
          <w:rFonts w:hint="default"/>
          <w:lang w:val="en-US" w:eastAsia="zh-CN"/>
        </w:rPr>
      </w:pPr>
    </w:p>
    <w:p w14:paraId="74B279B4">
      <w:pPr>
        <w:pStyle w:val="2"/>
        <w:rPr>
          <w:rFonts w:hint="default"/>
          <w:lang w:val="en-US" w:eastAsia="zh-CN"/>
        </w:rPr>
      </w:pPr>
    </w:p>
    <w:p w14:paraId="130B2840">
      <w:pPr>
        <w:pStyle w:val="2"/>
        <w:rPr>
          <w:rFonts w:hint="default"/>
          <w:lang w:val="en-US" w:eastAsia="zh-CN"/>
        </w:rPr>
      </w:pPr>
    </w:p>
    <w:p w14:paraId="7614D2CF">
      <w:pPr>
        <w:pStyle w:val="2"/>
        <w:rPr>
          <w:rFonts w:hint="default"/>
          <w:lang w:val="en-US" w:eastAsia="zh-CN"/>
        </w:rPr>
      </w:pPr>
    </w:p>
    <w:p w14:paraId="720C8E12">
      <w:pPr>
        <w:pStyle w:val="2"/>
        <w:rPr>
          <w:rFonts w:hint="default"/>
          <w:lang w:val="en-US" w:eastAsia="zh-CN"/>
        </w:rPr>
      </w:pPr>
    </w:p>
    <w:p w14:paraId="38193253">
      <w:pPr>
        <w:pStyle w:val="2"/>
        <w:rPr>
          <w:rFonts w:hint="default"/>
          <w:lang w:val="en-US" w:eastAsia="zh-CN"/>
        </w:rPr>
      </w:pPr>
    </w:p>
    <w:p w14:paraId="443A3D9D">
      <w:pPr>
        <w:pStyle w:val="2"/>
        <w:rPr>
          <w:rFonts w:hint="default"/>
          <w:lang w:val="en-US" w:eastAsia="zh-CN"/>
        </w:rPr>
      </w:pPr>
    </w:p>
    <w:p w14:paraId="3E7E593E">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43AC0BE2">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180647E3">
      <w:pPr>
        <w:adjustRightInd w:val="0"/>
        <w:snapToGrid w:val="0"/>
        <w:spacing w:before="100" w:beforeAutospacing="1" w:after="100" w:afterAutospacing="1" w:line="560" w:lineRule="exact"/>
        <w:ind w:left="0" w:leftChars="0" w:firstLine="0" w:firstLineChars="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2025年度沥青混合料采购</w:t>
      </w:r>
      <w:r>
        <w:rPr>
          <w:rFonts w:hint="eastAsia" w:ascii="宋体" w:hAnsi="宋体" w:eastAsia="宋体" w:cs="宋体"/>
          <w:b/>
          <w:bCs/>
          <w:sz w:val="44"/>
          <w:szCs w:val="44"/>
          <w:lang w:val="en-US" w:eastAsia="zh-CN"/>
        </w:rPr>
        <w:t>响应文件</w:t>
      </w:r>
    </w:p>
    <w:p w14:paraId="2949DB1D">
      <w:pPr>
        <w:pStyle w:val="2"/>
        <w:rPr>
          <w:rFonts w:hint="eastAsia" w:ascii="宋体" w:hAnsi="宋体" w:eastAsia="宋体" w:cs="宋体"/>
          <w:b/>
          <w:bCs/>
          <w:sz w:val="44"/>
          <w:szCs w:val="44"/>
          <w:lang w:val="en-US" w:eastAsia="zh-CN"/>
        </w:rPr>
      </w:pPr>
    </w:p>
    <w:p w14:paraId="7FE20F2E">
      <w:pPr>
        <w:pStyle w:val="2"/>
        <w:rPr>
          <w:rFonts w:hint="eastAsia" w:ascii="宋体" w:hAnsi="宋体" w:eastAsia="宋体" w:cs="宋体"/>
          <w:b/>
          <w:bCs/>
          <w:sz w:val="44"/>
          <w:szCs w:val="44"/>
          <w:lang w:val="en-US" w:eastAsia="zh-CN"/>
        </w:rPr>
      </w:pPr>
    </w:p>
    <w:p w14:paraId="62F232C9">
      <w:pPr>
        <w:pStyle w:val="2"/>
        <w:rPr>
          <w:rFonts w:hint="eastAsia" w:ascii="宋体" w:hAnsi="宋体" w:eastAsia="宋体" w:cs="宋体"/>
          <w:b/>
          <w:bCs/>
          <w:sz w:val="44"/>
          <w:szCs w:val="44"/>
          <w:lang w:val="en-US" w:eastAsia="zh-CN"/>
        </w:rPr>
      </w:pPr>
    </w:p>
    <w:p w14:paraId="02C426F3">
      <w:pPr>
        <w:pStyle w:val="2"/>
        <w:ind w:left="0" w:leftChars="0" w:firstLine="0" w:firstLineChars="0"/>
        <w:rPr>
          <w:rFonts w:hint="eastAsia" w:ascii="宋体" w:hAnsi="宋体" w:eastAsia="宋体" w:cs="宋体"/>
          <w:b/>
          <w:bCs/>
          <w:sz w:val="44"/>
          <w:szCs w:val="44"/>
          <w:lang w:val="en-US" w:eastAsia="zh-CN"/>
        </w:rPr>
      </w:pPr>
    </w:p>
    <w:p w14:paraId="7B70888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736595F5">
      <w:pPr>
        <w:adjustRightInd w:val="0"/>
        <w:snapToGrid w:val="0"/>
        <w:spacing w:line="560" w:lineRule="exact"/>
        <w:jc w:val="both"/>
        <w:rPr>
          <w:rFonts w:hint="eastAsia" w:asciiTheme="majorEastAsia" w:hAnsiTheme="majorEastAsia" w:eastAsiaTheme="majorEastAsia" w:cstheme="majorEastAsia"/>
          <w:sz w:val="30"/>
        </w:rPr>
      </w:pPr>
    </w:p>
    <w:p w14:paraId="15A8777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30F211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6206ED0">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BA26AD3">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5E216105">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7DC6B23">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681A5B75">
      <w:pPr>
        <w:spacing w:line="480" w:lineRule="auto"/>
        <w:ind w:firstLine="420" w:firstLineChars="200"/>
        <w:jc w:val="left"/>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湖州南太湖新区市本级移交道路维修养护项目（2025-2027年度）2025年度沥青混合料采购</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5F546123">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1EAB9962">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7ECA2864">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2F0D3D1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553F2438">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21D15284">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77DA00A8">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1CD883A5">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5FB79A4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76808D9C">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0C4EA64C">
      <w:pPr>
        <w:rPr>
          <w:rFonts w:hint="eastAsia"/>
          <w:lang w:val="en-US" w:eastAsia="zh-CN"/>
        </w:rPr>
      </w:pPr>
    </w:p>
    <w:p w14:paraId="1909DDFF">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AFB7A0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E7DDB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E778F75">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AF59BFD">
      <w:pPr>
        <w:spacing w:line="480" w:lineRule="exact"/>
        <w:jc w:val="center"/>
        <w:rPr>
          <w:rFonts w:hint="eastAsia" w:ascii="黑体" w:eastAsia="黑体"/>
          <w:b/>
          <w:bCs/>
          <w:sz w:val="36"/>
        </w:rPr>
      </w:pPr>
    </w:p>
    <w:p w14:paraId="7462B663">
      <w:pPr>
        <w:pStyle w:val="2"/>
        <w:rPr>
          <w:rFonts w:hint="eastAsia"/>
        </w:rPr>
      </w:pPr>
    </w:p>
    <w:p w14:paraId="66374FA4">
      <w:pPr>
        <w:pStyle w:val="2"/>
        <w:rPr>
          <w:rFonts w:hint="eastAsia"/>
        </w:rPr>
      </w:pPr>
    </w:p>
    <w:p w14:paraId="75606DD8">
      <w:pPr>
        <w:bidi w:val="0"/>
        <w:jc w:val="center"/>
        <w:rPr>
          <w:rFonts w:hint="eastAsia"/>
          <w:b/>
          <w:bCs/>
          <w:sz w:val="32"/>
          <w:szCs w:val="32"/>
        </w:rPr>
      </w:pPr>
      <w:bookmarkStart w:id="31" w:name="_Toc31445"/>
      <w:bookmarkStart w:id="32" w:name="_Toc478761773"/>
    </w:p>
    <w:p w14:paraId="2C17E1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1"/>
      <w:bookmarkEnd w:id="32"/>
      <w:r>
        <w:rPr>
          <w:rFonts w:hint="eastAsia"/>
          <w:b/>
          <w:bCs/>
          <w:sz w:val="32"/>
          <w:szCs w:val="32"/>
        </w:rPr>
        <w:t>法定代表人身份证明或附有法定代表人身份证明</w:t>
      </w:r>
    </w:p>
    <w:p w14:paraId="4A7E4A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34F16CA2">
      <w:pPr>
        <w:snapToGrid w:val="0"/>
        <w:spacing w:line="360" w:lineRule="auto"/>
        <w:jc w:val="center"/>
        <w:rPr>
          <w:rFonts w:hint="eastAsia" w:ascii="宋体" w:hAnsi="宋体" w:cs="宋体"/>
          <w:b/>
          <w:bCs/>
          <w:sz w:val="32"/>
          <w:szCs w:val="32"/>
        </w:rPr>
      </w:pPr>
    </w:p>
    <w:p w14:paraId="6E4108A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7AF793F3">
      <w:pPr>
        <w:pStyle w:val="2"/>
        <w:rPr>
          <w:rFonts w:hint="eastAsia"/>
        </w:rPr>
      </w:pPr>
    </w:p>
    <w:p w14:paraId="57925917">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1C32716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5CB090FE">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067CA740">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09919280">
      <w:pPr>
        <w:snapToGrid w:val="0"/>
        <w:spacing w:line="480" w:lineRule="auto"/>
        <w:ind w:firstLine="0" w:firstLineChars="0"/>
        <w:rPr>
          <w:rFonts w:hint="eastAsia" w:ascii="宋体" w:hAnsi="宋体" w:cs="宋体"/>
          <w:szCs w:val="21"/>
        </w:rPr>
      </w:pPr>
    </w:p>
    <w:p w14:paraId="31AA3028">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287DF718">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1720A6ED">
      <w:pPr>
        <w:pStyle w:val="2"/>
        <w:rPr>
          <w:rFonts w:hint="default"/>
          <w:lang w:val="en-US" w:eastAsia="zh-CN"/>
        </w:rPr>
      </w:pPr>
    </w:p>
    <w:p w14:paraId="2ED6AAEB">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1DFC49C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760A5105">
      <w:pPr>
        <w:pStyle w:val="12"/>
        <w:rPr>
          <w:rFonts w:hint="eastAsia"/>
        </w:rPr>
      </w:pPr>
    </w:p>
    <w:p w14:paraId="57D016F0">
      <w:pPr>
        <w:rPr>
          <w:rFonts w:hint="eastAsia"/>
        </w:rPr>
      </w:pPr>
    </w:p>
    <w:p w14:paraId="5693DB4E">
      <w:pPr>
        <w:pStyle w:val="2"/>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EFA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7A45A9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70FCE1A">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3" w:name="_Toc44"/>
      <w:bookmarkStart w:id="34" w:name="_Toc47876177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3"/>
      <w:bookmarkEnd w:id="34"/>
    </w:p>
    <w:p w14:paraId="79261410">
      <w:pPr>
        <w:spacing w:line="440" w:lineRule="exact"/>
        <w:ind w:firstLine="420" w:firstLineChars="200"/>
        <w:rPr>
          <w:rFonts w:hint="eastAsia" w:ascii="宋体" w:hAnsi="宋体" w:cs="宋体"/>
          <w:szCs w:val="21"/>
        </w:rPr>
      </w:pPr>
    </w:p>
    <w:p w14:paraId="41C361BB">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369813EF">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54896B9">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66701A42">
      <w:pPr>
        <w:spacing w:line="360" w:lineRule="auto"/>
        <w:rPr>
          <w:rFonts w:hint="eastAsia" w:ascii="宋体" w:hAnsi="宋体" w:cs="宋体"/>
          <w:szCs w:val="21"/>
        </w:rPr>
      </w:pPr>
    </w:p>
    <w:p w14:paraId="6C7028FE">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7B515D8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70217526">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7F2C80F9">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FEC2B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454C2FB">
      <w:pPr>
        <w:snapToGrid w:val="0"/>
        <w:spacing w:line="480" w:lineRule="auto"/>
        <w:jc w:val="both"/>
        <w:rPr>
          <w:rFonts w:hint="eastAsia" w:ascii="宋体" w:hAnsi="宋体" w:cs="宋体"/>
          <w:szCs w:val="21"/>
          <w:u w:val="single"/>
        </w:rPr>
      </w:pPr>
    </w:p>
    <w:p w14:paraId="436262F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64FF603">
      <w:pPr>
        <w:rPr>
          <w:rFonts w:hint="eastAsia" w:ascii="宋体" w:hAnsi="宋体" w:cs="宋体"/>
          <w:szCs w:val="21"/>
        </w:rPr>
      </w:pPr>
    </w:p>
    <w:p w14:paraId="2B992781">
      <w:pPr>
        <w:pStyle w:val="12"/>
        <w:rPr>
          <w:rFonts w:hint="eastAsia" w:ascii="宋体" w:hAnsi="宋体" w:cs="宋体"/>
          <w:szCs w:val="21"/>
        </w:rPr>
      </w:pPr>
    </w:p>
    <w:p w14:paraId="2D6B780A">
      <w:pPr>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909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4977DB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2552054">
      <w:pPr>
        <w:rPr>
          <w:rFonts w:hint="eastAsia"/>
        </w:rPr>
      </w:pPr>
    </w:p>
    <w:p w14:paraId="004CB284">
      <w:pPr>
        <w:spacing w:line="480" w:lineRule="exact"/>
        <w:ind w:left="0" w:leftChars="0" w:firstLine="0" w:firstLineChars="0"/>
        <w:jc w:val="both"/>
        <w:rPr>
          <w:rFonts w:hint="eastAsia" w:ascii="黑体" w:eastAsia="黑体"/>
          <w:b/>
          <w:bCs/>
          <w:sz w:val="36"/>
        </w:rPr>
      </w:pPr>
    </w:p>
    <w:p w14:paraId="2774B760">
      <w:pPr>
        <w:rPr>
          <w:rFonts w:hint="eastAsia"/>
        </w:rPr>
      </w:pPr>
    </w:p>
    <w:p w14:paraId="1491EBD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17D7BBDE">
      <w:pPr>
        <w:pStyle w:val="2"/>
        <w:numPr>
          <w:ilvl w:val="0"/>
          <w:numId w:val="0"/>
        </w:numPr>
        <w:ind w:left="1050" w:hanging="1050" w:hangingChars="500"/>
        <w:rPr>
          <w:rFonts w:hint="default" w:ascii="宋体" w:hAnsi="宋体" w:eastAsia="宋体" w:cs="宋体"/>
          <w:lang w:val="en-US" w:eastAsia="zh-CN"/>
        </w:rPr>
      </w:pPr>
      <w:r>
        <w:rPr>
          <w:rFonts w:hint="eastAsia" w:ascii="宋体" w:hAnsi="宋体" w:eastAsia="宋体" w:cs="宋体"/>
          <w:lang w:val="en-US" w:eastAsia="zh-CN"/>
        </w:rPr>
        <w:t>项目名称：</w:t>
      </w:r>
      <w:r>
        <w:rPr>
          <w:rFonts w:hint="eastAsia" w:eastAsia="宋体" w:cs="Times New Roman"/>
          <w:lang w:val="en-US" w:eastAsia="zh-CN"/>
        </w:rPr>
        <w:t>湖州南太湖新区市本级移交道路维修养护项目（2025-2027年度）2025年度</w:t>
      </w:r>
      <w:r>
        <w:rPr>
          <w:rFonts w:hint="eastAsia" w:cs="Times New Roman"/>
          <w:lang w:val="en-US" w:eastAsia="zh-CN"/>
        </w:rPr>
        <w:t>沥青混合料采购</w:t>
      </w:r>
    </w:p>
    <w:tbl>
      <w:tblPr>
        <w:tblStyle w:val="16"/>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746"/>
        <w:gridCol w:w="658"/>
        <w:gridCol w:w="1120"/>
        <w:gridCol w:w="1569"/>
        <w:gridCol w:w="1500"/>
      </w:tblGrid>
      <w:tr w14:paraId="2895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418C1B9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BE2E1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工作内容</w:t>
            </w:r>
          </w:p>
        </w:tc>
        <w:tc>
          <w:tcPr>
            <w:tcW w:w="658" w:type="dxa"/>
            <w:tcBorders>
              <w:top w:val="single" w:color="auto" w:sz="4" w:space="0"/>
              <w:left w:val="single" w:color="auto" w:sz="4" w:space="0"/>
              <w:bottom w:val="single" w:color="auto" w:sz="4" w:space="0"/>
              <w:right w:val="single" w:color="auto" w:sz="4" w:space="0"/>
              <w:tl2br w:val="nil"/>
              <w:tr2bl w:val="nil"/>
            </w:tcBorders>
            <w:noWrap/>
            <w:vAlign w:val="center"/>
          </w:tcPr>
          <w:p w14:paraId="59458CB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0" w:type="dxa"/>
            <w:tcBorders>
              <w:top w:val="single" w:color="auto" w:sz="4" w:space="0"/>
              <w:left w:val="single" w:color="auto" w:sz="4" w:space="0"/>
              <w:bottom w:val="single" w:color="auto" w:sz="4" w:space="0"/>
              <w:right w:val="single" w:color="auto" w:sz="4" w:space="0"/>
              <w:tl2br w:val="nil"/>
              <w:tr2bl w:val="nil"/>
            </w:tcBorders>
            <w:noWrap/>
            <w:vAlign w:val="center"/>
          </w:tcPr>
          <w:p w14:paraId="7345820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2D82FAA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249999F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r>
      <w:tr w14:paraId="19E0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27A292D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74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9E78BD5">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PA-1</w:t>
            </w:r>
            <w:r>
              <w:rPr>
                <w:rFonts w:hint="eastAsia" w:ascii="宋体" w:hAnsi="宋体" w:eastAsia="宋体" w:cs="宋体"/>
                <w:i w:val="0"/>
                <w:iCs w:val="0"/>
                <w:color w:val="000000"/>
                <w:kern w:val="0"/>
                <w:sz w:val="22"/>
                <w:szCs w:val="22"/>
                <w:u w:val="none"/>
                <w:lang w:val="en-US" w:eastAsia="zh-CN" w:bidi="ar"/>
              </w:rPr>
              <w:t>乳化沥青</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06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ascii="宋体" w:hAnsi="宋体" w:cs="宋体"/>
                <w:i w:val="0"/>
                <w:iCs w:val="0"/>
                <w:color w:val="000000"/>
                <w:kern w:val="0"/>
                <w:sz w:val="22"/>
                <w:szCs w:val="22"/>
                <w:u w:val="none"/>
                <w:lang w:val="en-US" w:eastAsia="zh-CN" w:bidi="ar"/>
              </w:rPr>
              <w:t>t</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904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5D12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153BD5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513B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5002C8E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274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09568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AC-16C</w:t>
            </w:r>
            <w:r>
              <w:rPr>
                <w:rFonts w:hint="eastAsia" w:ascii="宋体" w:hAnsi="宋体" w:cs="宋体"/>
                <w:i w:val="0"/>
                <w:iCs w:val="0"/>
                <w:color w:val="000000"/>
                <w:kern w:val="0"/>
                <w:sz w:val="22"/>
                <w:szCs w:val="22"/>
                <w:u w:val="none"/>
                <w:lang w:val="en-US" w:eastAsia="zh-CN" w:bidi="ar"/>
              </w:rPr>
              <w:t>中粒式</w:t>
            </w:r>
            <w:r>
              <w:rPr>
                <w:rFonts w:hint="eastAsia" w:ascii="宋体" w:hAnsi="宋体" w:eastAsia="宋体" w:cs="宋体"/>
                <w:i w:val="0"/>
                <w:iCs w:val="0"/>
                <w:color w:val="000000"/>
                <w:kern w:val="0"/>
                <w:sz w:val="22"/>
                <w:szCs w:val="22"/>
                <w:u w:val="none"/>
                <w:lang w:val="en-US" w:eastAsia="zh-CN" w:bidi="ar"/>
              </w:rPr>
              <w:t>沥青混凝土</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E22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ascii="宋体" w:hAnsi="宋体" w:cs="宋体"/>
                <w:i w:val="0"/>
                <w:iCs w:val="0"/>
                <w:color w:val="000000"/>
                <w:kern w:val="0"/>
                <w:sz w:val="22"/>
                <w:szCs w:val="22"/>
                <w:u w:val="none"/>
                <w:lang w:val="en-US" w:eastAsia="zh-CN" w:bidi="ar"/>
              </w:rPr>
              <w:t>t</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EB3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bottom"/>
              <w:rPr>
                <w:rFonts w:hint="default" w:ascii="Times New Roman" w:hAnsi="Times New Roman" w:eastAsia="宋体" w:cs="Times New Roman"/>
                <w:color w:val="000000"/>
                <w:sz w:val="21"/>
                <w:szCs w:val="21"/>
                <w:lang w:val="en-US"/>
              </w:rPr>
            </w:pPr>
            <w:r>
              <w:rPr>
                <w:rFonts w:hint="eastAsia" w:ascii="宋体" w:hAnsi="宋体" w:cs="宋体"/>
                <w:i w:val="0"/>
                <w:iCs w:val="0"/>
                <w:color w:val="000000"/>
                <w:kern w:val="0"/>
                <w:sz w:val="22"/>
                <w:szCs w:val="22"/>
                <w:u w:val="none"/>
                <w:lang w:val="en-US" w:eastAsia="zh-CN" w:bidi="ar"/>
              </w:rPr>
              <w:t>240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6AAE3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2BF9C6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1B51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469535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3</w:t>
            </w:r>
          </w:p>
        </w:tc>
        <w:tc>
          <w:tcPr>
            <w:tcW w:w="274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8652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AC-13C</w:t>
            </w:r>
            <w:r>
              <w:rPr>
                <w:rFonts w:hint="eastAsia" w:ascii="宋体" w:hAnsi="宋体" w:cs="宋体"/>
                <w:i w:val="0"/>
                <w:iCs w:val="0"/>
                <w:color w:val="000000"/>
                <w:kern w:val="0"/>
                <w:sz w:val="22"/>
                <w:szCs w:val="22"/>
                <w:u w:val="none"/>
                <w:lang w:val="en-US" w:eastAsia="zh-CN" w:bidi="ar"/>
              </w:rPr>
              <w:t>细粒式</w:t>
            </w:r>
            <w:r>
              <w:rPr>
                <w:rFonts w:hint="eastAsia" w:ascii="宋体" w:hAnsi="宋体" w:eastAsia="宋体" w:cs="宋体"/>
                <w:i w:val="0"/>
                <w:iCs w:val="0"/>
                <w:color w:val="000000"/>
                <w:kern w:val="0"/>
                <w:sz w:val="22"/>
                <w:szCs w:val="22"/>
                <w:u w:val="none"/>
                <w:lang w:val="en-US" w:eastAsia="zh-CN" w:bidi="ar"/>
              </w:rPr>
              <w:t>沥青混凝土</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3F2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t</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1C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2592</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CB02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A66C4C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0E08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03B5794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4</w:t>
            </w:r>
          </w:p>
        </w:tc>
        <w:tc>
          <w:tcPr>
            <w:tcW w:w="274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C9F9B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LB-16中粒式</w:t>
            </w:r>
            <w:r>
              <w:rPr>
                <w:rFonts w:hint="eastAsia" w:ascii="宋体" w:hAnsi="宋体" w:eastAsia="宋体" w:cs="宋体"/>
                <w:i w:val="0"/>
                <w:iCs w:val="0"/>
                <w:color w:val="000000"/>
                <w:kern w:val="0"/>
                <w:sz w:val="22"/>
                <w:szCs w:val="22"/>
                <w:u w:val="none"/>
                <w:lang w:val="en-US" w:eastAsia="zh-CN" w:bidi="ar"/>
              </w:rPr>
              <w:t>新型冷补料</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5B7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t</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6A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114</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2A2E7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186EB7B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r>
      <w:tr w14:paraId="3D75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6F73F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color w:val="000000"/>
                <w:sz w:val="22"/>
                <w:szCs w:val="22"/>
                <w:lang w:val="en-US" w:eastAsia="zh-CN"/>
              </w:rPr>
              <w:t>合计含税金额（小写）</w:t>
            </w:r>
          </w:p>
        </w:tc>
        <w:tc>
          <w:tcPr>
            <w:tcW w:w="418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85BFE2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lang w:val="en-US" w:eastAsia="zh-CN"/>
              </w:rPr>
            </w:pPr>
            <w:r>
              <w:rPr>
                <w:rFonts w:hint="eastAsia" w:ascii="宋体" w:hAnsi="宋体" w:eastAsia="宋体" w:cs="宋体"/>
                <w:sz w:val="21"/>
                <w:szCs w:val="21"/>
                <w:lang w:val="en-US" w:eastAsia="zh-CN"/>
              </w:rPr>
              <w:t>元</w:t>
            </w:r>
          </w:p>
        </w:tc>
      </w:tr>
    </w:tbl>
    <w:p w14:paraId="6882E79D">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762A63F8">
      <w:pPr>
        <w:adjustRightInd w:val="0"/>
        <w:snapToGrid w:val="0"/>
        <w:spacing w:line="480" w:lineRule="auto"/>
        <w:ind w:firstLine="420" w:firstLineChars="200"/>
        <w:rPr>
          <w:rFonts w:hint="eastAsia" w:ascii="宋体" w:hAnsi="宋体" w:cs="宋体"/>
          <w:sz w:val="21"/>
          <w:szCs w:val="21"/>
          <w:u w:val="none"/>
          <w:lang w:val="en-US" w:eastAsia="zh-CN"/>
        </w:rPr>
      </w:pPr>
      <w:r>
        <w:rPr>
          <w:rFonts w:hint="default" w:ascii="Times New Roman" w:hAnsi="Times New Roman" w:cs="Times New Roman"/>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03A63348">
      <w:pPr>
        <w:adjustRightInd w:val="0"/>
        <w:snapToGrid w:val="0"/>
        <w:spacing w:line="480" w:lineRule="auto"/>
        <w:ind w:firstLine="420" w:firstLineChars="200"/>
        <w:rPr>
          <w:rFonts w:hint="eastAsia" w:ascii="宋体" w:hAnsi="宋体" w:eastAsia="宋体" w:cs="宋体"/>
          <w:sz w:val="21"/>
          <w:szCs w:val="21"/>
          <w:lang w:val="en-US" w:eastAsia="zh-CN"/>
        </w:rPr>
      </w:pPr>
      <w:r>
        <w:rPr>
          <w:rFonts w:hint="eastAsia" w:ascii="Times New Roman" w:hAnsi="Times New Roman" w:eastAsia="宋体" w:cs="Times New Roman"/>
          <w:sz w:val="21"/>
          <w:szCs w:val="21"/>
          <w:lang w:val="en-US" w:eastAsia="zh-CN"/>
        </w:rPr>
        <w:t>2、</w:t>
      </w:r>
      <w:r>
        <w:rPr>
          <w:rFonts w:hint="eastAsia" w:ascii="宋体" w:hAnsi="宋体" w:eastAsia="宋体" w:cs="宋体"/>
          <w:sz w:val="21"/>
          <w:szCs w:val="21"/>
          <w:lang w:val="en-US" w:eastAsia="zh-CN"/>
        </w:rPr>
        <w:t>工程量清单中所列数量是预估的数量，仅作为报价的共同基础，不能作为最终结算与支付的依据，实际支付应以实际完成且签认数量，按合同签订的单价计算支付金额。</w:t>
      </w:r>
    </w:p>
    <w:p w14:paraId="74E261D3">
      <w:pPr>
        <w:adjustRightInd w:val="0"/>
        <w:snapToGrid w:val="0"/>
        <w:spacing w:line="480" w:lineRule="auto"/>
        <w:ind w:firstLine="420" w:firstLineChars="200"/>
        <w:rPr>
          <w:rFonts w:hint="eastAsia" w:ascii="宋体" w:hAnsi="宋体" w:eastAsia="宋体" w:cs="宋体"/>
          <w:sz w:val="21"/>
          <w:szCs w:val="21"/>
          <w:lang w:val="en-US" w:eastAsia="zh-CN"/>
        </w:rPr>
      </w:pP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w:t>
      </w:r>
      <w:r>
        <w:rPr>
          <w:rFonts w:hint="eastAsia" w:ascii="宋体" w:hAnsi="宋体" w:eastAsia="宋体" w:cs="宋体"/>
          <w:sz w:val="21"/>
          <w:szCs w:val="21"/>
          <w:lang w:val="en-US" w:eastAsia="zh-CN"/>
        </w:rPr>
        <w:t>工程量清单中有标价的单价均包括了材料成本、铣刨料残值回收、运输费、包装费、劳务费、装卸、仓储保管、试验检测（指产品出厂前按国家规定频率的试验检测）、取样、保险、利润、税金、政策性文件规定及合同包含的所有风险、责任等各项应有费用。</w:t>
      </w:r>
    </w:p>
    <w:p w14:paraId="334BA59F">
      <w:pPr>
        <w:adjustRightInd w:val="0"/>
        <w:snapToGrid w:val="0"/>
        <w:spacing w:line="480" w:lineRule="auto"/>
        <w:ind w:firstLine="420" w:firstLineChars="200"/>
        <w:jc w:val="left"/>
        <w:rPr>
          <w:rFonts w:hint="eastAsia" w:ascii="宋体" w:hAnsi="宋体" w:eastAsia="宋体" w:cs="宋体"/>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r>
        <w:rPr>
          <w:rFonts w:hint="eastAsia" w:ascii="宋体" w:hAnsi="宋体" w:cs="宋体"/>
          <w:sz w:val="21"/>
          <w:szCs w:val="21"/>
          <w:lang w:val="en-US" w:eastAsia="zh-CN"/>
        </w:rPr>
        <w:t xml:space="preserve"> </w:t>
      </w:r>
    </w:p>
    <w:p w14:paraId="3805D13D">
      <w:pPr>
        <w:pStyle w:val="2"/>
        <w:rPr>
          <w:rFonts w:hint="eastAsia"/>
        </w:rPr>
      </w:pPr>
    </w:p>
    <w:p w14:paraId="3DCE5631">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7C445340">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8ECF3A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02D50B70">
      <w:pPr>
        <w:adjustRightInd w:val="0"/>
        <w:snapToGrid w:val="0"/>
        <w:spacing w:line="480" w:lineRule="auto"/>
        <w:ind w:firstLine="4830" w:firstLineChars="2300"/>
        <w:rPr>
          <w:rFonts w:hint="eastAsia" w:ascii="宋体" w:hAnsi="宋体" w:eastAsia="宋体" w:cs="宋体"/>
          <w:szCs w:val="21"/>
          <w:lang w:eastAsia="zh-CN"/>
        </w:rPr>
      </w:pPr>
    </w:p>
    <w:p w14:paraId="1A6E89BE">
      <w:pPr>
        <w:pStyle w:val="2"/>
        <w:ind w:left="0" w:leftChars="0" w:firstLine="0" w:firstLineChars="0"/>
        <w:rPr>
          <w:rFonts w:hint="eastAsia"/>
          <w:lang w:val="en-US" w:eastAsia="zh-CN"/>
        </w:rPr>
        <w:sectPr>
          <w:footerReference r:id="rId6"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31CE6EC6">
      <w:pPr>
        <w:pStyle w:val="2"/>
        <w:ind w:left="0" w:leftChars="0" w:firstLine="0" w:firstLineChars="0"/>
        <w:rPr>
          <w:rFonts w:hint="eastAsia"/>
          <w:lang w:val="en-US" w:eastAsia="zh-CN"/>
        </w:rPr>
      </w:pPr>
    </w:p>
    <w:p w14:paraId="737CCD32">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r>
        <w:rPr>
          <w:rFonts w:hint="eastAsia" w:ascii="宋体" w:hAnsi="宋体" w:cs="宋体"/>
          <w:b/>
          <w:bCs/>
          <w:sz w:val="32"/>
          <w:szCs w:val="32"/>
          <w:lang w:val="en-US" w:eastAsia="zh-CN"/>
        </w:rPr>
        <w:t xml:space="preserve"> </w:t>
      </w:r>
    </w:p>
    <w:p w14:paraId="67D5221E">
      <w:pPr>
        <w:spacing w:line="66" w:lineRule="exact"/>
      </w:pPr>
    </w:p>
    <w:tbl>
      <w:tblPr>
        <w:tblStyle w:val="26"/>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59E4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0631107E">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18A7C9E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18E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03FCEEFC">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0C1E907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FC74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6CD7632A">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5CF4996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7BAF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1932CDCE">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1AE16D8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885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1E7B42E5">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D9F0A2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38F2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5B40E90D">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71F13CE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F15D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48E76B7C">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26E85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Arial"/>
                <w:sz w:val="21"/>
              </w:rPr>
            </w:pPr>
            <w:r>
              <w:rPr>
                <w:rFonts w:hint="eastAsia" w:ascii="Arial"/>
                <w:sz w:val="21"/>
              </w:rPr>
              <w:t>后附相关证明材料 (合同协议书)</w:t>
            </w:r>
          </w:p>
        </w:tc>
      </w:tr>
    </w:tbl>
    <w:p w14:paraId="7DD0E1A3">
      <w:pPr>
        <w:spacing w:line="560" w:lineRule="exact"/>
        <w:jc w:val="center"/>
        <w:outlineLvl w:val="9"/>
        <w:rPr>
          <w:rFonts w:ascii="黑体" w:eastAsia="黑体"/>
          <w:b/>
          <w:bCs/>
          <w:color w:val="000000"/>
          <w:sz w:val="36"/>
          <w:szCs w:val="36"/>
        </w:rPr>
      </w:pPr>
    </w:p>
    <w:p w14:paraId="2A34B12B">
      <w:pPr>
        <w:pStyle w:val="2"/>
      </w:pPr>
    </w:p>
    <w:p w14:paraId="1FBF5345">
      <w:pPr>
        <w:pStyle w:val="2"/>
      </w:pPr>
    </w:p>
    <w:p w14:paraId="42562711">
      <w:pPr>
        <w:pStyle w:val="2"/>
      </w:pPr>
    </w:p>
    <w:p w14:paraId="6E8296C4">
      <w:pPr>
        <w:pStyle w:val="2"/>
      </w:pPr>
    </w:p>
    <w:p w14:paraId="51B5C62B">
      <w:pPr>
        <w:pStyle w:val="2"/>
      </w:pPr>
    </w:p>
    <w:p w14:paraId="60826412">
      <w:pPr>
        <w:pStyle w:val="2"/>
      </w:pPr>
    </w:p>
    <w:p w14:paraId="5E262B77">
      <w:pPr>
        <w:pStyle w:val="2"/>
      </w:pPr>
    </w:p>
    <w:p w14:paraId="61B5B716">
      <w:pPr>
        <w:pStyle w:val="2"/>
      </w:pPr>
    </w:p>
    <w:p w14:paraId="519C1E71">
      <w:pPr>
        <w:pStyle w:val="2"/>
      </w:pPr>
    </w:p>
    <w:p w14:paraId="4A41D9D7">
      <w:pPr>
        <w:pStyle w:val="2"/>
      </w:pPr>
    </w:p>
    <w:p w14:paraId="6B61178C">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六、响应单位的相关证件</w:t>
      </w:r>
    </w:p>
    <w:p w14:paraId="38BBD751">
      <w:pPr>
        <w:pStyle w:val="2"/>
      </w:pPr>
    </w:p>
    <w:p w14:paraId="1A9AF52F">
      <w:pPr>
        <w:adjustRightInd w:val="0"/>
        <w:snapToGrid w:val="0"/>
        <w:spacing w:line="48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1.企业法人营业执照的复印件；</w:t>
      </w:r>
    </w:p>
    <w:p w14:paraId="48C6855F">
      <w:pPr>
        <w:adjustRightInd w:val="0"/>
        <w:snapToGrid w:val="0"/>
        <w:spacing w:line="480" w:lineRule="auto"/>
        <w:ind w:firstLine="420" w:firstLineChars="200"/>
        <w:rPr>
          <w:rFonts w:hint="eastAsia" w:ascii="宋体" w:hAnsi="宋体" w:eastAsia="宋体" w:cs="宋体"/>
          <w:sz w:val="21"/>
          <w:szCs w:val="21"/>
          <w:lang w:val="en-US" w:eastAsia="zh-CN"/>
        </w:rPr>
      </w:pPr>
      <w:bookmarkStart w:id="35" w:name="_Toc24871"/>
      <w:r>
        <w:rPr>
          <w:rFonts w:hint="eastAsia" w:ascii="宋体" w:hAnsi="宋体" w:eastAsia="宋体" w:cs="宋体"/>
          <w:sz w:val="21"/>
          <w:szCs w:val="21"/>
          <w:lang w:val="en-US" w:eastAsia="zh-CN"/>
        </w:rPr>
        <w:t>2.基本账户开户许可证的复印件</w:t>
      </w:r>
      <w:bookmarkEnd w:id="35"/>
      <w:r>
        <w:rPr>
          <w:rFonts w:hint="eastAsia" w:ascii="宋体" w:hAnsi="宋体" w:eastAsia="宋体" w:cs="宋体"/>
          <w:sz w:val="21"/>
          <w:szCs w:val="21"/>
          <w:lang w:val="en-US" w:eastAsia="zh-CN"/>
        </w:rPr>
        <w:t>。</w:t>
      </w:r>
    </w:p>
    <w:p w14:paraId="373F240A">
      <w:pPr>
        <w:pStyle w:val="2"/>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34F10FC1">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七、其他资料</w:t>
      </w:r>
    </w:p>
    <w:p w14:paraId="3C30D11C">
      <w:pPr>
        <w:pStyle w:val="2"/>
        <w:ind w:left="0" w:leftChars="0" w:firstLine="0" w:firstLineChars="0"/>
      </w:pPr>
    </w:p>
    <w:p w14:paraId="0256A589">
      <w:pPr>
        <w:adjustRightInd w:val="0"/>
        <w:snapToGrid w:val="0"/>
        <w:spacing w:line="48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、需提供材料质量保证措施、材料保供措施、售后服务方案等；</w:t>
      </w:r>
    </w:p>
    <w:p w14:paraId="243740D3">
      <w:pPr>
        <w:adjustRightInd w:val="0"/>
        <w:snapToGrid w:val="0"/>
        <w:spacing w:line="48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、产品质量检测相关资料；</w:t>
      </w:r>
    </w:p>
    <w:p w14:paraId="600CF297">
      <w:pPr>
        <w:adjustRightInd w:val="0"/>
        <w:snapToGrid w:val="0"/>
        <w:spacing w:line="480" w:lineRule="auto"/>
        <w:ind w:firstLine="420" w:firstLineChars="200"/>
        <w:rPr>
          <w:rFonts w:hint="eastAsia" w:ascii="宋体" w:hAnsi="宋体" w:eastAsia="宋体" w:cs="宋体"/>
          <w:sz w:val="21"/>
          <w:szCs w:val="21"/>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r>
        <w:rPr>
          <w:rFonts w:hint="default" w:ascii="宋体" w:hAnsi="宋体" w:eastAsia="宋体" w:cs="宋体"/>
          <w:sz w:val="21"/>
          <w:szCs w:val="21"/>
          <w:lang w:val="en-US" w:eastAsia="zh-CN"/>
        </w:rPr>
        <w:t>3</w:t>
      </w:r>
      <w:r>
        <w:rPr>
          <w:rFonts w:hint="eastAsia" w:ascii="宋体" w:hAnsi="宋体" w:eastAsia="宋体" w:cs="宋体"/>
          <w:sz w:val="21"/>
          <w:szCs w:val="21"/>
          <w:lang w:val="en-US" w:eastAsia="zh-CN"/>
        </w:rPr>
        <w:t>、响应单位认为有必要提供的其他材料。</w:t>
      </w:r>
    </w:p>
    <w:p w14:paraId="37F62AD7">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八、</w:t>
      </w:r>
      <w:r>
        <w:rPr>
          <w:rFonts w:hint="eastAsia" w:ascii="宋体" w:hAnsi="宋体" w:cs="宋体"/>
          <w:b/>
          <w:bCs/>
          <w:sz w:val="32"/>
          <w:szCs w:val="32"/>
        </w:rPr>
        <w:t xml:space="preserve">  承  诺  书</w:t>
      </w:r>
    </w:p>
    <w:p w14:paraId="38EAB847">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12E8F520">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Times New Roman" w:hAnsi="Times New Roman" w:eastAsia="宋体" w:cs="Times New Roman"/>
          <w:u w:val="single"/>
          <w:lang w:val="en-US" w:eastAsia="zh-CN"/>
        </w:rPr>
        <w:t>湖州南太湖新区市本级移交道路维修养护项目（2025-2027年度）2025年度</w:t>
      </w:r>
      <w:r>
        <w:rPr>
          <w:rFonts w:hint="eastAsia" w:ascii="宋体" w:hAnsi="宋体" w:cs="宋体"/>
          <w:szCs w:val="21"/>
          <w:u w:val="single"/>
          <w:lang w:val="en-US" w:eastAsia="zh-CN"/>
        </w:rPr>
        <w:t>沥青混合料采购</w:t>
      </w:r>
      <w:r>
        <w:rPr>
          <w:rFonts w:hint="eastAsia" w:ascii="宋体" w:hAnsi="宋体" w:cs="宋体"/>
          <w:szCs w:val="21"/>
        </w:rPr>
        <w:t>选择文件认真研究后，我单位郑重承诺：</w:t>
      </w:r>
    </w:p>
    <w:p w14:paraId="761CEB16">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1.我单位完全接受贵方</w:t>
      </w:r>
      <w:r>
        <w:rPr>
          <w:rFonts w:hint="eastAsia" w:ascii="Times New Roman" w:hAnsi="Times New Roman" w:eastAsia="宋体" w:cs="Times New Roman"/>
          <w:u w:val="single"/>
          <w:lang w:val="en-US" w:eastAsia="zh-CN"/>
        </w:rPr>
        <w:t>湖州南太湖新区市本级移交道路维修养护项目（2025-2027年度）2025年度</w:t>
      </w:r>
      <w:r>
        <w:rPr>
          <w:rFonts w:hint="eastAsia" w:ascii="宋体" w:hAnsi="宋体" w:cs="宋体"/>
          <w:szCs w:val="21"/>
          <w:u w:val="single"/>
          <w:lang w:val="en-US" w:eastAsia="zh-CN"/>
        </w:rPr>
        <w:t>沥青混合料采购</w:t>
      </w:r>
      <w:r>
        <w:rPr>
          <w:rFonts w:hint="default" w:ascii="Times New Roman" w:hAnsi="Times New Roman" w:cs="Times New Roman"/>
          <w:szCs w:val="21"/>
        </w:rPr>
        <w:t>选择文件的各项要求</w:t>
      </w:r>
      <w:r>
        <w:rPr>
          <w:rFonts w:hint="eastAsia" w:cs="Times New Roman"/>
          <w:szCs w:val="21"/>
          <w:lang w:eastAsia="zh-CN"/>
        </w:rPr>
        <w:t>，</w:t>
      </w:r>
      <w:r>
        <w:rPr>
          <w:rFonts w:hint="default" w:ascii="Times New Roman" w:hAnsi="Times New Roman" w:cs="Times New Roman"/>
          <w:szCs w:val="21"/>
        </w:rPr>
        <w:t>保证在实施过程中，坚决执行合同约定，承担合同责任,并全面履行合同义务。</w:t>
      </w:r>
    </w:p>
    <w:p w14:paraId="408D7BC8">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2.我方在响应阶段、合同签署阶段已对选择文件进行详细核查，对其做出的判断和决策负责，在合同履行过程中不因上述问题向甲方提出任何索赔。</w:t>
      </w:r>
    </w:p>
    <w:p w14:paraId="39F4C9BA">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3.我方保证按合同协议书的要求，及时组织人员、设备、物资上场；保证全部承包项目不转包；并随时接受贵单位的检查和验收。如实施过程中，我方未达到贵方要求和自身承诺，自愿接受贵方调整任务，直至解除合同（协议）的一切处理，并承担一切责任。</w:t>
      </w:r>
    </w:p>
    <w:p w14:paraId="7C59729C">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4.我方服从贵方、业主要求和总体进度安排，无条件接受贵方对我方的安排及内容调整，并承诺绝不以此作为借口提出增加费用要求。</w:t>
      </w:r>
    </w:p>
    <w:p w14:paraId="298CC0DF">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5.没有贵单位认可，不随意离开现场，确保本项目负责人尽职尽责、自始至终地抓好本项目建设，如有违约，愿接受贵单位处罚。</w:t>
      </w:r>
    </w:p>
    <w:p w14:paraId="67FBFDF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6.实施过程中，我方一定要加强施工现场劳务管理，保证绝不出现恶意讨薪、停工罢工、聚众上访，围堵、围攻贵方及相关管理单位的不良行为。</w:t>
      </w:r>
    </w:p>
    <w:p w14:paraId="15A88768">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7.实施过程中，不论任何原因引起的窝工及误工，均由我方根据施工实际情况及时调整资源配置，决不向贵方申请任何误工索赔。</w:t>
      </w:r>
    </w:p>
    <w:p w14:paraId="0AA54B45">
      <w:pPr>
        <w:spacing w:line="560" w:lineRule="exact"/>
        <w:ind w:firstLine="525" w:firstLineChars="250"/>
        <w:jc w:val="left"/>
        <w:rPr>
          <w:rFonts w:hint="default" w:ascii="Times New Roman" w:hAnsi="Times New Roman" w:cs="Times New Roman"/>
          <w:szCs w:val="21"/>
        </w:rPr>
      </w:pPr>
      <w:r>
        <w:rPr>
          <w:rFonts w:hint="eastAsia" w:cs="Times New Roman"/>
          <w:szCs w:val="21"/>
          <w:lang w:val="en-US" w:eastAsia="zh-CN"/>
        </w:rPr>
        <w:t>8</w:t>
      </w:r>
      <w:r>
        <w:rPr>
          <w:rFonts w:hint="default" w:ascii="Times New Roman" w:hAnsi="Times New Roman" w:cs="Times New Roman"/>
          <w:szCs w:val="21"/>
        </w:rPr>
        <w:t>.在实施过程中坚决做到安全生产，绝不偷工减料，不发生安全质量事故或问题。如出现安全质量事故，造成的一切损失由我方承担。</w:t>
      </w:r>
    </w:p>
    <w:p w14:paraId="6C8DAAB7">
      <w:pPr>
        <w:spacing w:line="560" w:lineRule="exact"/>
        <w:ind w:firstLine="525" w:firstLineChars="250"/>
        <w:jc w:val="left"/>
        <w:rPr>
          <w:rFonts w:hint="default" w:ascii="Times New Roman" w:hAnsi="Times New Roman" w:cs="Times New Roman"/>
          <w:szCs w:val="21"/>
        </w:rPr>
      </w:pPr>
      <w:r>
        <w:rPr>
          <w:rFonts w:hint="eastAsia" w:cs="Times New Roman"/>
          <w:szCs w:val="21"/>
          <w:lang w:val="en-US" w:eastAsia="zh-CN"/>
        </w:rPr>
        <w:t>9</w:t>
      </w:r>
      <w:r>
        <w:rPr>
          <w:rFonts w:hint="default" w:ascii="Times New Roman" w:hAnsi="Times New Roman" w:cs="Times New Roman"/>
          <w:szCs w:val="21"/>
        </w:rPr>
        <w:t>. 我方在报价时（含二、三次报价）已充分考虑到施工中的各种影响因素及可能出现的各种风险，实施过程中决不提出涨价及补偿要求。</w:t>
      </w:r>
    </w:p>
    <w:p w14:paraId="205C865A">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w:t>
      </w:r>
      <w:r>
        <w:rPr>
          <w:rFonts w:hint="eastAsia" w:cs="Times New Roman"/>
          <w:szCs w:val="21"/>
          <w:lang w:val="en-US" w:eastAsia="zh-CN"/>
        </w:rPr>
        <w:t>0</w:t>
      </w:r>
      <w:r>
        <w:rPr>
          <w:rFonts w:hint="default" w:ascii="Times New Roman" w:hAnsi="Times New Roman" w:cs="Times New Roman"/>
          <w:szCs w:val="21"/>
        </w:rPr>
        <w:t>.在双方合同执行过程中，我方将严格执行合同条款约定，全面履行合同义务和责任，服从贵方管理和领导，全面执行贵方的各项管理制度。</w:t>
      </w:r>
    </w:p>
    <w:p w14:paraId="5DAA55D9">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w:t>
      </w:r>
      <w:r>
        <w:rPr>
          <w:rFonts w:hint="eastAsia" w:cs="Times New Roman"/>
          <w:szCs w:val="21"/>
          <w:lang w:val="en-US" w:eastAsia="zh-CN"/>
        </w:rPr>
        <w:t>1</w:t>
      </w:r>
      <w:r>
        <w:rPr>
          <w:rFonts w:hint="default" w:ascii="Times New Roman" w:hAnsi="Times New Roman" w:cs="Times New Roman"/>
          <w:szCs w:val="21"/>
        </w:rPr>
        <w:t>.我方同意所有我方参加实施的劳务人员工资均由我方发放，如有人员工资拖欠的，自愿承担所有责任，决不再向贵方索要。</w:t>
      </w:r>
    </w:p>
    <w:p w14:paraId="03FAFF84">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w:t>
      </w:r>
      <w:r>
        <w:rPr>
          <w:rFonts w:hint="eastAsia" w:cs="Times New Roman"/>
          <w:szCs w:val="21"/>
          <w:lang w:val="en-US" w:eastAsia="zh-CN"/>
        </w:rPr>
        <w:t>2</w:t>
      </w:r>
      <w:r>
        <w:rPr>
          <w:rFonts w:hint="default" w:ascii="Times New Roman" w:hAnsi="Times New Roman" w:cs="Times New Roman"/>
          <w:szCs w:val="21"/>
        </w:rPr>
        <w:t>.我方承诺签订合同后，将及时为拟投入本项目的我方全部人员、财产、机械设备购买保险。若因我方自身原因造成人员伤亡、设备的毁坏，我单位将自行承担一切损失和责任，保证不再要求贵方承担经济损失补偿。</w:t>
      </w:r>
    </w:p>
    <w:p w14:paraId="52BD3F6A">
      <w:pPr>
        <w:spacing w:line="560" w:lineRule="exact"/>
        <w:ind w:firstLine="700" w:firstLineChars="250"/>
        <w:jc w:val="left"/>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p>
    <w:p w14:paraId="2A8BD3C8">
      <w:pPr>
        <w:pStyle w:val="2"/>
        <w:ind w:left="0" w:leftChars="0" w:firstLine="0" w:firstLineChars="0"/>
        <w:rPr>
          <w:rFonts w:hint="eastAsia"/>
          <w:lang w:val="en-US" w:eastAsia="zh-CN"/>
        </w:rPr>
      </w:pPr>
    </w:p>
    <w:p w14:paraId="7EEB9F10">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4E5A25F3">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5883473B">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DD8251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textAlignment w:val="auto"/>
        <w:rPr>
          <w:rFonts w:hint="default" w:ascii="宋体" w:hAnsi="宋体" w:cs="宋体"/>
          <w:snapToGrid w:val="0"/>
          <w:kern w:val="0"/>
          <w:szCs w:val="21"/>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146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E9ABF">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AE9ABF">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E04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2E7A4"/>
    <w:multiLevelType w:val="singleLevel"/>
    <w:tmpl w:val="9412E7A4"/>
    <w:lvl w:ilvl="0" w:tentative="0">
      <w:start w:val="1"/>
      <w:numFmt w:val="chineseCounting"/>
      <w:suff w:val="space"/>
      <w:lvlText w:val="第%1章"/>
      <w:lvlJc w:val="left"/>
      <w:rPr>
        <w:rFonts w:hint="eastAsia"/>
      </w:rPr>
    </w:lvl>
  </w:abstractNum>
  <w:abstractNum w:abstractNumId="1">
    <w:nsid w:val="A500E06B"/>
    <w:multiLevelType w:val="singleLevel"/>
    <w:tmpl w:val="A500E06B"/>
    <w:lvl w:ilvl="0" w:tentative="0">
      <w:start w:val="1"/>
      <w:numFmt w:val="decimal"/>
      <w:suff w:val="nothing"/>
      <w:lvlText w:val="%1、"/>
      <w:lvlJc w:val="left"/>
    </w:lvl>
  </w:abstractNum>
  <w:abstractNum w:abstractNumId="2">
    <w:nsid w:val="B844FE5D"/>
    <w:multiLevelType w:val="singleLevel"/>
    <w:tmpl w:val="B844FE5D"/>
    <w:lvl w:ilvl="0" w:tentative="0">
      <w:start w:val="4"/>
      <w:numFmt w:val="chineseCounting"/>
      <w:suff w:val="nothing"/>
      <w:lvlText w:val="%1、"/>
      <w:lvlJc w:val="left"/>
      <w:rPr>
        <w:rFonts w:hint="eastAsia"/>
      </w:rPr>
    </w:lvl>
  </w:abstractNum>
  <w:abstractNum w:abstractNumId="3">
    <w:nsid w:val="DBD05C21"/>
    <w:multiLevelType w:val="singleLevel"/>
    <w:tmpl w:val="DBD05C21"/>
    <w:lvl w:ilvl="0" w:tentative="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65E0F52"/>
    <w:rsid w:val="00134C1D"/>
    <w:rsid w:val="00475A56"/>
    <w:rsid w:val="00B11130"/>
    <w:rsid w:val="059E69A5"/>
    <w:rsid w:val="065B6CE3"/>
    <w:rsid w:val="065E0F52"/>
    <w:rsid w:val="06E009A0"/>
    <w:rsid w:val="09862E2D"/>
    <w:rsid w:val="098D6817"/>
    <w:rsid w:val="0FF878BE"/>
    <w:rsid w:val="107F4DF3"/>
    <w:rsid w:val="10A92F65"/>
    <w:rsid w:val="12307A63"/>
    <w:rsid w:val="12376211"/>
    <w:rsid w:val="124D7D92"/>
    <w:rsid w:val="131206FE"/>
    <w:rsid w:val="17CB565C"/>
    <w:rsid w:val="195977A9"/>
    <w:rsid w:val="1A503868"/>
    <w:rsid w:val="1B7C0CCC"/>
    <w:rsid w:val="1BD37366"/>
    <w:rsid w:val="1C546A97"/>
    <w:rsid w:val="1C9C6D7D"/>
    <w:rsid w:val="1CCB239A"/>
    <w:rsid w:val="1D570607"/>
    <w:rsid w:val="1D836902"/>
    <w:rsid w:val="20476ABB"/>
    <w:rsid w:val="216A6484"/>
    <w:rsid w:val="24992818"/>
    <w:rsid w:val="274A4620"/>
    <w:rsid w:val="27F17DD1"/>
    <w:rsid w:val="2A3A5EF1"/>
    <w:rsid w:val="2C5F49C7"/>
    <w:rsid w:val="2C647B8B"/>
    <w:rsid w:val="2CC00FAA"/>
    <w:rsid w:val="2DA6409D"/>
    <w:rsid w:val="2EFF426B"/>
    <w:rsid w:val="31F47109"/>
    <w:rsid w:val="323D79E4"/>
    <w:rsid w:val="33B47A94"/>
    <w:rsid w:val="34620120"/>
    <w:rsid w:val="34A0463D"/>
    <w:rsid w:val="34D31A6E"/>
    <w:rsid w:val="37D93425"/>
    <w:rsid w:val="3873665C"/>
    <w:rsid w:val="3AD319B4"/>
    <w:rsid w:val="3BE60F05"/>
    <w:rsid w:val="3E9055C8"/>
    <w:rsid w:val="41FF6B1E"/>
    <w:rsid w:val="45D67B80"/>
    <w:rsid w:val="462408E8"/>
    <w:rsid w:val="47CF445E"/>
    <w:rsid w:val="486E7F2A"/>
    <w:rsid w:val="4E9143FB"/>
    <w:rsid w:val="4F0D6614"/>
    <w:rsid w:val="50FA48B0"/>
    <w:rsid w:val="528C7327"/>
    <w:rsid w:val="538F2EE8"/>
    <w:rsid w:val="54144CC4"/>
    <w:rsid w:val="559076D5"/>
    <w:rsid w:val="565C6341"/>
    <w:rsid w:val="5A1F21B9"/>
    <w:rsid w:val="5CCE283B"/>
    <w:rsid w:val="615E0678"/>
    <w:rsid w:val="630221A1"/>
    <w:rsid w:val="63F70E34"/>
    <w:rsid w:val="65C503A7"/>
    <w:rsid w:val="65D33B04"/>
    <w:rsid w:val="68956642"/>
    <w:rsid w:val="6B602AB1"/>
    <w:rsid w:val="6BD62CD4"/>
    <w:rsid w:val="6D44125A"/>
    <w:rsid w:val="6E87498A"/>
    <w:rsid w:val="6F1B1A17"/>
    <w:rsid w:val="704E4817"/>
    <w:rsid w:val="70D63808"/>
    <w:rsid w:val="72CB365A"/>
    <w:rsid w:val="73AE78F4"/>
    <w:rsid w:val="75E575C6"/>
    <w:rsid w:val="7726768D"/>
    <w:rsid w:val="783D4C34"/>
    <w:rsid w:val="78D463A2"/>
    <w:rsid w:val="7AFA4078"/>
    <w:rsid w:val="7CCD535D"/>
    <w:rsid w:val="7F3C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5">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6">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17">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caption"/>
    <w:basedOn w:val="1"/>
    <w:next w:val="1"/>
    <w:semiHidden/>
    <w:unhideWhenUsed/>
    <w:qFormat/>
    <w:uiPriority w:val="0"/>
    <w:rPr>
      <w:rFonts w:ascii="Arial" w:hAnsi="Arial" w:eastAsia="黑体"/>
      <w:sz w:val="20"/>
    </w:rPr>
  </w:style>
  <w:style w:type="paragraph" w:styleId="8">
    <w:name w:val="Body Text"/>
    <w:basedOn w:val="1"/>
    <w:next w:val="9"/>
    <w:autoRedefine/>
    <w:qFormat/>
    <w:uiPriority w:val="0"/>
    <w:pPr>
      <w:spacing w:after="120" w:afterLines="0"/>
    </w:pPr>
  </w:style>
  <w:style w:type="paragraph" w:styleId="9">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autoRedefine/>
    <w:unhideWhenUsed/>
    <w:qFormat/>
    <w:uiPriority w:val="99"/>
    <w:pPr>
      <w:ind w:firstLine="420" w:firstLineChars="100"/>
    </w:pPr>
  </w:style>
  <w:style w:type="character" w:styleId="18">
    <w:name w:val="Hyperlink"/>
    <w:basedOn w:val="17"/>
    <w:autoRedefine/>
    <w:qFormat/>
    <w:uiPriority w:val="0"/>
    <w:rPr>
      <w:color w:val="0000FF"/>
      <w:u w:val="single"/>
    </w:rPr>
  </w:style>
  <w:style w:type="paragraph" w:customStyle="1" w:styleId="1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0">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1">
    <w:name w:val="封面"/>
    <w:basedOn w:val="1"/>
    <w:next w:val="1"/>
    <w:autoRedefine/>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2">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3">
    <w:name w:val="目录"/>
    <w:basedOn w:val="1"/>
    <w:link w:val="24"/>
    <w:autoRedefine/>
    <w:qFormat/>
    <w:uiPriority w:val="0"/>
    <w:pPr>
      <w:spacing w:beforeLines="0" w:afterLines="0" w:line="240" w:lineRule="auto"/>
      <w:ind w:firstLine="0" w:firstLineChars="0"/>
      <w:jc w:val="center"/>
    </w:pPr>
    <w:rPr>
      <w:rFonts w:ascii="宋体" w:hAnsi="宋体"/>
      <w:b/>
      <w:sz w:val="30"/>
    </w:rPr>
  </w:style>
  <w:style w:type="character" w:customStyle="1" w:styleId="24">
    <w:name w:val="目录 Char"/>
    <w:link w:val="23"/>
    <w:autoRedefine/>
    <w:qFormat/>
    <w:uiPriority w:val="0"/>
    <w:rPr>
      <w:rFonts w:ascii="宋体" w:hAnsi="宋体"/>
      <w:b/>
      <w:sz w:val="30"/>
    </w:rPr>
  </w:style>
  <w:style w:type="paragraph" w:customStyle="1" w:styleId="25">
    <w:name w:val="表格内容"/>
    <w:basedOn w:val="1"/>
    <w:autoRedefine/>
    <w:qFormat/>
    <w:uiPriority w:val="0"/>
    <w:pPr>
      <w:ind w:firstLine="0" w:firstLineChars="0"/>
    </w:pPr>
    <w:rPr>
      <w:rFonts w:hint="default" w:ascii="Times New Roman" w:hAnsi="Times New Roman"/>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character" w:customStyle="1" w:styleId="27">
    <w:name w:val="标题 1 Char"/>
    <w:link w:val="4"/>
    <w:autoRedefine/>
    <w:qFormat/>
    <w:uiPriority w:val="0"/>
    <w:rPr>
      <w:rFonts w:ascii="Times New Roman" w:hAnsi="Times New Roman" w:eastAsia="宋体"/>
      <w:b/>
      <w:bCs/>
      <w:kern w:val="44"/>
      <w:sz w:val="28"/>
      <w:szCs w:val="44"/>
    </w:rPr>
  </w:style>
  <w:style w:type="character" w:customStyle="1" w:styleId="28">
    <w:name w:val="font01"/>
    <w:basedOn w:val="17"/>
    <w:qFormat/>
    <w:uiPriority w:val="0"/>
    <w:rPr>
      <w:rFonts w:hint="eastAsia" w:ascii="宋体" w:hAnsi="宋体" w:eastAsia="宋体" w:cs="宋体"/>
      <w:color w:val="000000"/>
      <w:sz w:val="22"/>
      <w:szCs w:val="22"/>
      <w:u w:val="none"/>
    </w:rPr>
  </w:style>
  <w:style w:type="character" w:customStyle="1" w:styleId="29">
    <w:name w:val="font11"/>
    <w:basedOn w:val="17"/>
    <w:qFormat/>
    <w:uiPriority w:val="0"/>
    <w:rPr>
      <w:rFonts w:hint="eastAsia" w:ascii="宋体" w:hAnsi="宋体" w:eastAsia="宋体" w:cs="宋体"/>
      <w:color w:val="000000"/>
      <w:sz w:val="22"/>
      <w:szCs w:val="22"/>
      <w:u w:val="none"/>
      <w:vertAlign w:val="superscript"/>
    </w:rPr>
  </w:style>
  <w:style w:type="paragraph" w:customStyle="1" w:styleId="30">
    <w:name w:val="z正文"/>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eastAsia" w:ascii="宋体" w:hAnsi="宋体" w:eastAsia="宋体" w:cs="宋体"/>
      <w:kern w:val="2"/>
      <w:sz w:val="24"/>
      <w:szCs w:val="24"/>
      <w:lang w:val="en-US" w:eastAsia="zh-CN" w:bidi="ar"/>
    </w:rPr>
  </w:style>
  <w:style w:type="paragraph" w:customStyle="1" w:styleId="31">
    <w:name w:val="样式 首行缩进:  2 字符"/>
    <w:basedOn w:val="1"/>
    <w:hidden/>
    <w:qFormat/>
    <w:uiPriority w:val="0"/>
    <w:pPr>
      <w:keepNext w:val="0"/>
      <w:keepLines w:val="0"/>
      <w:widowControl w:val="0"/>
      <w:suppressLineNumbers w:val="0"/>
      <w:spacing w:beforeLines="0" w:beforeAutospacing="0" w:afterLines="0" w:afterAutospacing="0" w:line="480" w:lineRule="exact"/>
      <w:ind w:firstLine="200" w:firstLineChars="200"/>
      <w:jc w:val="both"/>
    </w:pPr>
    <w:rPr>
      <w:rFonts w:hint="default" w:ascii="Times New Roman" w:hAnsi="Times New Roman" w:eastAsia="宋体" w:cs="宋体"/>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6301</Words>
  <Characters>7148</Characters>
  <Lines>1</Lines>
  <Paragraphs>1</Paragraphs>
  <TotalTime>2</TotalTime>
  <ScaleCrop>false</ScaleCrop>
  <LinksUpToDate>false</LinksUpToDate>
  <CharactersWithSpaces>8209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Vergilius</cp:lastModifiedBy>
  <cp:lastPrinted>2025-08-21T02:27:00Z</cp:lastPrinted>
  <dcterms:modified xsi:type="dcterms:W3CDTF">2025-08-25T08:31:11Z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2A6B4536DA914A379E3C217C3EA07107_13</vt:lpwstr>
  </property>
  <property fmtid="{D5CDD505-2E9C-101B-9397-08002B2CF9AE}" pid="4" name="KSOTemplateDocerSaveRecord">
    <vt:lpwstr>eyJoZGlkIjoiN2IxMGFhMDNmZjRiN2VhMDIxMjNhYzZkYTg1MTcxYjIiLCJ1c2VySWQiOiIyNTMzMjI3MzYifQ==</vt:lpwstr>
  </property>
</Properties>
</file>