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26734_WPSOffice_Level1"/>
      <w:bookmarkStart w:id="1" w:name="_Toc14254_WPSOffice_Level1"/>
      <w:bookmarkStart w:id="2" w:name="_Toc16839_WPSOffice_Level1"/>
      <w:bookmarkStart w:id="3" w:name="_Toc14020_WPSOffice_Level1"/>
      <w:r>
        <w:rPr>
          <w:rFonts w:hint="eastAsia" w:ascii="宋体" w:hAnsi="宋体" w:cs="宋体"/>
          <w:color w:val="1F2D3D"/>
          <w:sz w:val="44"/>
          <w:szCs w:val="44"/>
          <w:shd w:val="clear" w:color="auto" w:fill="FFFFFF"/>
          <w:lang w:val="en-US" w:eastAsia="zh-CN"/>
        </w:rPr>
        <w:t xml:space="preserve">       </w:t>
      </w:r>
    </w:p>
    <w:p w14:paraId="3349D18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44"/>
          <w:szCs w:val="44"/>
          <w:u w:val="none"/>
          <w:lang w:val="en-US" w:eastAsia="zh-CN"/>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杭千高速公司2026年道路设施</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eastAsia="zh-CN"/>
        </w:rPr>
      </w:pPr>
      <w:r>
        <w:rPr>
          <w:rFonts w:hint="eastAsia" w:ascii="宋体" w:hAnsi="宋体" w:cs="宋体"/>
          <w:sz w:val="44"/>
          <w:szCs w:val="44"/>
          <w:u w:val="none"/>
          <w:lang w:val="en-US" w:eastAsia="zh-CN"/>
        </w:rPr>
        <w:t>提升工程</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铣刨料回收</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2026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5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5580"/>
      <w:bookmarkStart w:id="15"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0879"/>
      <w:bookmarkStart w:id="21"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w:t>
      </w:r>
      <w:r>
        <w:rPr>
          <w:rFonts w:hint="eastAsia" w:ascii="宋体" w:hAnsi="宋体" w:cs="宋体"/>
          <w:b w:val="0"/>
          <w:snapToGrid w:val="0"/>
          <w:kern w:val="0"/>
          <w:sz w:val="30"/>
          <w:szCs w:val="30"/>
          <w:u w:val="single"/>
          <w:lang w:val="en-US" w:eastAsia="zh-CN"/>
        </w:rPr>
        <w:t>高</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15145"/>
      <w:bookmarkStart w:id="23"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5478"/>
      <w:bookmarkStart w:id="25" w:name="_Toc18451"/>
      <w:bookmarkStart w:id="26" w:name="_Toc32386"/>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杭千高速公司2026年道路设施提升工程铣刨料回收</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1CB34D8E">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3"/>
      <w:r>
        <w:rPr>
          <w:rFonts w:hint="eastAsia" w:asciiTheme="minorEastAsia" w:hAnsiTheme="minorEastAsia" w:eastAsiaTheme="minorEastAsia" w:cstheme="minorEastAsia"/>
          <w:spacing w:val="-1"/>
          <w:sz w:val="21"/>
          <w:szCs w:val="21"/>
          <w:lang w:val="en-US" w:eastAsia="zh-CN"/>
        </w:rPr>
        <w:t>杭新景（杭千）高速公路是连通杭州与金华、衡州、江西以及皖南等地区的重要通道，其主线起点为杭州市的袁浦镇北，终于杨村桥枢纽，长 95.205 公里，为双向六车道高速公路；溧宁高速公路为淳安县至龙游，路线长 62.053 公里；杭长高速为建德大同至杨村桥，与杭新景高速公路相连，路线全长 63.136 公里；千黄高速公路（淳安段）位于浙江省杭州市淳安县千岛湖风景区，路线起点以隧道形式接在建千黄高速公路（安徽段），终点至青溪立交桥，采用双向四车道高速公路工程技术标准。全线长约 246.722 公里，共设有匝道收费站25个（2个站分主、辅站）。</w:t>
      </w:r>
    </w:p>
    <w:p w14:paraId="6C163C83">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本项目为杭千高速公司2026年道路设施提升工程提升工程，实施范围为:对部分路段路面病害进行处治及标线划设等；完成部分边坡病害整治工作；完成部分隧道加固修复工作；建德服务区南区道路及停车位改造工作。</w:t>
      </w:r>
    </w:p>
    <w:bookmarkEnd w:id="31"/>
    <w:bookmarkEnd w:id="32"/>
    <w:p w14:paraId="16940B39">
      <w:pPr>
        <w:keepNext w:val="0"/>
        <w:keepLines w:val="0"/>
        <w:pageBreakBefore w:val="0"/>
        <w:numPr>
          <w:ilvl w:val="0"/>
          <w:numId w:val="0"/>
        </w:numPr>
        <w:kinsoku/>
        <w:wordWrap/>
        <w:overflowPunct/>
        <w:topLinePunct w:val="0"/>
        <w:autoSpaceDE/>
        <w:autoSpaceDN/>
        <w:bidi w:val="0"/>
        <w:adjustRightIn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bookmarkStart w:id="34" w:name="_Toc20417"/>
      <w:bookmarkStart w:id="35" w:name="_Toc19196"/>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4103"/>
      <w:bookmarkStart w:id="37" w:name="_Toc30903"/>
      <w:r>
        <w:rPr>
          <w:rFonts w:hint="eastAsia" w:asciiTheme="minorEastAsia" w:hAnsiTheme="minorEastAsia" w:eastAsiaTheme="minorEastAsia" w:cstheme="minorEastAsia"/>
          <w:color w:val="auto"/>
          <w:spacing w:val="-1"/>
          <w:sz w:val="21"/>
          <w:szCs w:val="21"/>
          <w:lang w:val="en-US" w:eastAsia="zh-CN"/>
        </w:rPr>
        <w:t>①项目实施地点：</w:t>
      </w:r>
      <w:r>
        <w:rPr>
          <w:rFonts w:hint="eastAsia" w:asciiTheme="minorEastAsia" w:hAnsiTheme="minorEastAsia" w:eastAsiaTheme="minorEastAsia" w:cstheme="minorEastAsia"/>
          <w:color w:val="auto"/>
          <w:spacing w:val="-1"/>
          <w:sz w:val="21"/>
          <w:szCs w:val="21"/>
          <w:u w:val="none"/>
          <w:lang w:val="en-US" w:eastAsia="zh-CN"/>
        </w:rPr>
        <w:t>杭新景(杭千)高速公路、溧宁高速公路(淳安县至龙游段)、杭长高速(建德、大同至杨村桥段)、千黄高速公路(淳安段)沿线。</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w:t>
      </w:r>
      <w:r>
        <w:rPr>
          <w:rFonts w:hint="default"/>
          <w:lang w:val="en-US" w:eastAsia="zh-CN"/>
        </w:rPr>
        <w:t>响应人的铣刨料运输能力不</w:t>
      </w:r>
      <w:r>
        <w:rPr>
          <w:rFonts w:hint="eastAsia"/>
          <w:lang w:val="en-US" w:eastAsia="zh-CN"/>
        </w:rPr>
        <w:t>得</w:t>
      </w:r>
      <w:r>
        <w:rPr>
          <w:rFonts w:hint="default"/>
          <w:lang w:val="en-US" w:eastAsia="zh-CN"/>
        </w:rPr>
        <w:t>低于</w:t>
      </w:r>
      <w:r>
        <w:rPr>
          <w:rFonts w:hint="default"/>
          <w:b/>
          <w:bCs/>
          <w:color w:val="FF0000"/>
          <w:lang w:val="en-US" w:eastAsia="zh-CN"/>
        </w:rPr>
        <w:t>600吨/天</w:t>
      </w:r>
      <w:r>
        <w:rPr>
          <w:rFonts w:hint="eastAsia"/>
          <w:lang w:val="en-US" w:eastAsia="zh-CN"/>
        </w:rPr>
        <w:t>（后附不少于15辆废料车相关证明资料）；车辆性能良好、驾驶员及车辆证件齐全；响应人收货时必须服从选择人的现场安排，到场汽车须按选择人要求装车，及时将废料运离施工现场；料车装车高度不得高于拦板高度，运输过程中做好覆盖措施，防止抛洒</w:t>
      </w:r>
      <w:r>
        <w:rPr>
          <w:rFonts w:hint="eastAsia" w:asciiTheme="minorEastAsia" w:hAnsiTheme="minorEastAsia" w:eastAsiaTheme="minorEastAsia" w:cstheme="minorEastAsia"/>
          <w:spacing w:val="-1"/>
          <w:sz w:val="21"/>
          <w:szCs w:val="21"/>
          <w:lang w:val="en-US" w:eastAsia="zh-CN"/>
        </w:rPr>
        <w:t>。</w:t>
      </w:r>
      <w:bookmarkEnd w:id="38"/>
      <w:bookmarkEnd w:id="39"/>
    </w:p>
    <w:p w14:paraId="79859F32">
      <w:pPr>
        <w:keepNext w:val="0"/>
        <w:keepLines w:val="0"/>
        <w:pageBreakBefore w:val="0"/>
        <w:kinsoku/>
        <w:wordWrap/>
        <w:overflowPunct/>
        <w:topLinePunct w:val="0"/>
        <w:autoSpaceDE/>
        <w:autoSpaceDN/>
        <w:bidi w:val="0"/>
        <w:adjustRightInd/>
        <w:spacing w:before="0" w:line="432" w:lineRule="auto"/>
        <w:ind w:firstLine="418" w:firstLineChars="200"/>
        <w:textAlignment w:val="auto"/>
        <w:outlineLvl w:val="0"/>
        <w:rPr>
          <w:rFonts w:hint="default" w:asciiTheme="minorEastAsia" w:hAnsiTheme="minorEastAsia" w:eastAsiaTheme="minorEastAsia" w:cstheme="minorEastAsia"/>
          <w:b/>
          <w:bCs/>
          <w:color w:val="auto"/>
          <w:spacing w:val="-1"/>
          <w:sz w:val="21"/>
          <w:szCs w:val="21"/>
          <w:highlight w:val="red"/>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③车辆载重要求：运输车辆装载铣刨料严禁超载，需严格遵守《交通运输部办公厅关于进一步规范全国高速公路入口称重检测工作的通知》中的相关规定，若因超载原因造成选择人受到高速交警处罚或停工，造成选择人经济、工期等损失，由响应人承担一切责任，选择人将向响应人索赔。</w:t>
      </w:r>
    </w:p>
    <w:p w14:paraId="0F6E7F7B">
      <w:pPr>
        <w:spacing w:before="0" w:line="432" w:lineRule="auto"/>
        <w:ind w:firstLine="416" w:firstLineChars="200"/>
        <w:outlineLvl w:val="0"/>
        <w:rPr>
          <w:rFonts w:hint="default"/>
          <w:color w:val="auto"/>
          <w:lang w:val="en-US" w:eastAsia="zh-CN"/>
        </w:rPr>
      </w:pPr>
      <w:bookmarkStart w:id="40" w:name="_Toc16711"/>
      <w:bookmarkStart w:id="41" w:name="_Toc24181"/>
      <w:r>
        <w:rPr>
          <w:rFonts w:hint="eastAsia" w:asciiTheme="minorEastAsia" w:hAnsiTheme="minorEastAsia" w:eastAsiaTheme="minorEastAsia" w:cstheme="minorEastAsia"/>
          <w:color w:val="auto"/>
          <w:spacing w:val="-1"/>
          <w:sz w:val="21"/>
          <w:szCs w:val="21"/>
          <w:lang w:val="en-US" w:eastAsia="zh-CN"/>
        </w:rPr>
        <w:t>③本次选择内容：</w:t>
      </w:r>
      <w:bookmarkEnd w:id="40"/>
      <w:bookmarkEnd w:id="41"/>
      <w:r>
        <w:rPr>
          <w:rFonts w:hint="default"/>
          <w:b/>
          <w:bCs/>
          <w:color w:val="auto"/>
          <w:lang w:val="en-US" w:eastAsia="zh-CN"/>
        </w:rPr>
        <w:t>沥青铣刨料</w:t>
      </w:r>
      <w:r>
        <w:rPr>
          <w:rFonts w:hint="eastAsia"/>
          <w:b/>
          <w:bCs/>
          <w:color w:val="auto"/>
          <w:lang w:val="en-US" w:eastAsia="zh-CN"/>
        </w:rPr>
        <w:t>回收</w:t>
      </w:r>
      <w:r>
        <w:rPr>
          <w:rFonts w:hint="default"/>
          <w:b/>
          <w:bCs/>
          <w:color w:val="auto"/>
          <w:lang w:val="en-US" w:eastAsia="zh-CN"/>
        </w:rPr>
        <w:t>，详见第三章 采购需求（工程量清单）</w:t>
      </w:r>
      <w:r>
        <w:rPr>
          <w:rFonts w:hint="eastAsia"/>
          <w:b/>
          <w:bCs/>
          <w:color w:val="auto"/>
          <w:lang w:val="en-US" w:eastAsia="zh-CN"/>
        </w:rPr>
        <w:t>。</w:t>
      </w:r>
    </w:p>
    <w:p w14:paraId="720B62CE">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④</w:t>
      </w:r>
      <w:r>
        <w:rPr>
          <w:rFonts w:hint="default" w:asciiTheme="minorEastAsia" w:hAnsiTheme="minorEastAsia" w:eastAsiaTheme="minorEastAsia" w:cstheme="minorEastAsia"/>
          <w:spacing w:val="-1"/>
          <w:sz w:val="21"/>
          <w:szCs w:val="21"/>
          <w:lang w:val="en-US" w:eastAsia="zh-CN"/>
        </w:rPr>
        <w:t>运输方式：选择人负责装车后，由响应人负责运离施工现场</w:t>
      </w:r>
      <w:r>
        <w:rPr>
          <w:rFonts w:hint="eastAsia" w:asciiTheme="minorEastAsia" w:hAnsiTheme="minorEastAsia" w:eastAsiaTheme="minorEastAsia" w:cstheme="minorEastAsia"/>
          <w:spacing w:val="-1"/>
          <w:sz w:val="21"/>
          <w:szCs w:val="21"/>
          <w:lang w:val="en-US" w:eastAsia="zh-CN"/>
        </w:rPr>
        <w:t>。</w:t>
      </w:r>
    </w:p>
    <w:p w14:paraId="32CF208E">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w:t>
      </w:r>
      <w:r>
        <w:rPr>
          <w:rFonts w:hint="eastAsia" w:asciiTheme="minorEastAsia" w:hAnsiTheme="minorEastAsia" w:eastAsiaTheme="minorEastAsia" w:cstheme="minorEastAsia"/>
          <w:b/>
          <w:bCs/>
          <w:spacing w:val="-1"/>
          <w:sz w:val="21"/>
          <w:szCs w:val="21"/>
          <w:lang w:val="en-US" w:eastAsia="zh-CN"/>
        </w:rPr>
        <w:t>报价需知：本次报价不作为最终报价，选择人对所有报价评审之后，会要求响应人谈判并做出二次报价（如响应人不进行谈判，初次报价作为最终报价）</w:t>
      </w:r>
      <w:r>
        <w:rPr>
          <w:rFonts w:hint="eastAsia" w:asciiTheme="minorEastAsia" w:hAnsiTheme="minorEastAsia" w:eastAsiaTheme="minorEastAsia" w:cstheme="minorEastAsia"/>
          <w:spacing w:val="-1"/>
          <w:sz w:val="21"/>
          <w:szCs w:val="21"/>
          <w:lang w:val="en-US" w:eastAsia="zh-CN"/>
        </w:rPr>
        <w:t>。</w:t>
      </w:r>
    </w:p>
    <w:p w14:paraId="2CEFA53A">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⑥</w:t>
      </w:r>
      <w:r>
        <w:rPr>
          <w:rFonts w:hint="eastAsia" w:asciiTheme="minorEastAsia" w:hAnsiTheme="minorEastAsia" w:eastAsiaTheme="minorEastAsia" w:cstheme="minorEastAsia"/>
          <w:b/>
          <w:bCs/>
          <w:spacing w:val="-1"/>
          <w:sz w:val="21"/>
          <w:szCs w:val="21"/>
          <w:lang w:val="en-US" w:eastAsia="zh-CN"/>
        </w:rPr>
        <w:t>过路费：响应人的运输车辆上下高速产生的通行费用由响应人全额自理，本项目平均运距为55KM，浙江省收费4轴车1.639元/车公里、6轴及以上1.747元/车公里。响应人请根据上述数据自行测算，该费用包含在综合单价内。</w:t>
      </w:r>
    </w:p>
    <w:p w14:paraId="27D1FC83">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82" w:firstLineChars="200"/>
        <w:textAlignment w:val="auto"/>
        <w:outlineLvl w:val="1"/>
        <w:rPr>
          <w:rFonts w:hint="eastAsia" w:ascii="仿宋" w:hAnsi="仿宋" w:eastAsia="仿宋" w:cs="仿宋_GB2312"/>
          <w:b/>
          <w:bCs/>
          <w:sz w:val="24"/>
          <w:lang w:val="en-US" w:eastAsia="zh-CN"/>
        </w:rPr>
      </w:pPr>
      <w:bookmarkStart w:id="42" w:name="_Toc12501"/>
      <w:bookmarkStart w:id="43" w:name="_Toc32396"/>
      <w:r>
        <w:rPr>
          <w:rFonts w:hint="eastAsia" w:ascii="仿宋" w:hAnsi="仿宋" w:eastAsia="仿宋" w:cs="仿宋_GB2312"/>
          <w:b/>
          <w:bCs/>
          <w:sz w:val="24"/>
          <w:lang w:val="en-US" w:eastAsia="zh-CN"/>
        </w:rPr>
        <w:t>二、计划工期：2026年6月-2026年12月(具体工期以选择人通知时间或合同签订为准)。</w:t>
      </w:r>
      <w:bookmarkEnd w:id="42"/>
      <w:bookmarkEnd w:id="43"/>
      <w:bookmarkStart w:id="123" w:name="_GoBack"/>
      <w:bookmarkEnd w:id="123"/>
    </w:p>
    <w:p w14:paraId="239BC63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82" w:firstLineChars="200"/>
        <w:textAlignment w:val="auto"/>
        <w:outlineLvl w:val="1"/>
        <w:rPr>
          <w:rFonts w:hint="eastAsia" w:ascii="仿宋" w:hAnsi="仿宋" w:eastAsia="仿宋" w:cs="仿宋_GB2312"/>
          <w:b/>
          <w:bCs/>
          <w:sz w:val="24"/>
          <w:lang w:val="en-US" w:eastAsia="zh-CN"/>
        </w:rPr>
      </w:pPr>
      <w:bookmarkStart w:id="44" w:name="_Toc13899"/>
      <w:bookmarkStart w:id="45" w:name="_Toc13532"/>
      <w:r>
        <w:rPr>
          <w:rFonts w:hint="eastAsia" w:ascii="仿宋" w:hAnsi="仿宋" w:eastAsia="仿宋" w:cs="仿宋_GB2312"/>
          <w:b/>
          <w:bCs/>
          <w:sz w:val="24"/>
          <w:lang w:val="en-US" w:eastAsia="zh-CN"/>
        </w:rPr>
        <w:t>三、响应人资格条件</w:t>
      </w:r>
      <w:bookmarkEnd w:id="44"/>
      <w:bookmarkEnd w:id="45"/>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响应人应具备道路运输许可证或与具备道路运输许可证条件的单位签订车辆租赁协议</w:t>
      </w:r>
      <w:r>
        <w:rPr>
          <w:rFonts w:hint="eastAsia" w:asciiTheme="minorEastAsia" w:hAnsiTheme="minorEastAsia" w:eastAsiaTheme="minorEastAsia" w:cstheme="minorEastAsia"/>
          <w:snapToGrid w:val="0"/>
          <w:kern w:val="0"/>
          <w:sz w:val="21"/>
          <w:szCs w:val="21"/>
        </w:rPr>
        <w:t>。</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w:t>
      </w:r>
      <w:r>
        <w:rPr>
          <w:rFonts w:hint="eastAsia" w:asciiTheme="minorEastAsia" w:hAnsiTheme="minorEastAsia" w:eastAsiaTheme="minorEastAsia" w:cstheme="minorEastAsia"/>
          <w:snapToGrid w:val="0"/>
          <w:color w:val="FF0000"/>
          <w:kern w:val="0"/>
          <w:sz w:val="21"/>
          <w:szCs w:val="21"/>
        </w:rPr>
        <w:t>须提供</w:t>
      </w:r>
      <w:r>
        <w:rPr>
          <w:rFonts w:hint="eastAsia" w:asciiTheme="minorEastAsia" w:hAnsiTheme="minorEastAsia" w:eastAsiaTheme="minorEastAsia" w:cstheme="minorEastAsia"/>
          <w:snapToGrid w:val="0"/>
          <w:color w:val="FF0000"/>
          <w:kern w:val="0"/>
          <w:sz w:val="21"/>
          <w:szCs w:val="21"/>
          <w:u w:val="single"/>
          <w:lang w:eastAsia="zh-CN"/>
        </w:rPr>
        <w:t xml:space="preserve"> </w:t>
      </w:r>
      <w:r>
        <w:rPr>
          <w:rFonts w:hint="eastAsia" w:asciiTheme="minorEastAsia" w:hAnsiTheme="minorEastAsia" w:eastAsiaTheme="minorEastAsia" w:cstheme="minorEastAsia"/>
          <w:snapToGrid w:val="0"/>
          <w:color w:val="FF0000"/>
          <w:kern w:val="0"/>
          <w:sz w:val="21"/>
          <w:szCs w:val="21"/>
          <w:u w:val="single"/>
          <w:lang w:val="en-US" w:eastAsia="zh-CN"/>
        </w:rPr>
        <w:t xml:space="preserve">2023 </w:t>
      </w:r>
      <w:r>
        <w:rPr>
          <w:rFonts w:hint="eastAsia" w:asciiTheme="minorEastAsia" w:hAnsiTheme="minorEastAsia" w:eastAsiaTheme="minorEastAsia" w:cstheme="minorEastAsia"/>
          <w:snapToGrid w:val="0"/>
          <w:color w:val="FF0000"/>
          <w:kern w:val="0"/>
          <w:sz w:val="21"/>
          <w:szCs w:val="21"/>
          <w:u w:val="single"/>
        </w:rPr>
        <w:t>年</w:t>
      </w:r>
      <w:r>
        <w:rPr>
          <w:rFonts w:hint="eastAsia" w:asciiTheme="minorEastAsia" w:hAnsiTheme="minorEastAsia" w:eastAsiaTheme="minorEastAsia" w:cstheme="minorEastAsia"/>
          <w:snapToGrid w:val="0"/>
          <w:color w:val="FF0000"/>
          <w:kern w:val="0"/>
          <w:sz w:val="21"/>
          <w:szCs w:val="21"/>
          <w:u w:val="single"/>
          <w:lang w:val="en-US" w:eastAsia="zh-CN"/>
        </w:rPr>
        <w:t xml:space="preserve"> 1 </w:t>
      </w:r>
      <w:r>
        <w:rPr>
          <w:rFonts w:hint="eastAsia" w:asciiTheme="minorEastAsia" w:hAnsiTheme="minorEastAsia" w:eastAsiaTheme="minorEastAsia" w:cstheme="minorEastAsia"/>
          <w:snapToGrid w:val="0"/>
          <w:color w:val="FF0000"/>
          <w:kern w:val="0"/>
          <w:sz w:val="21"/>
          <w:szCs w:val="21"/>
          <w:u w:val="single"/>
        </w:rPr>
        <w:t>月</w:t>
      </w:r>
      <w:r>
        <w:rPr>
          <w:rFonts w:hint="eastAsia" w:asciiTheme="minorEastAsia" w:hAnsiTheme="minorEastAsia" w:eastAsiaTheme="minorEastAsia" w:cstheme="minorEastAsia"/>
          <w:snapToGrid w:val="0"/>
          <w:color w:val="FF0000"/>
          <w:kern w:val="0"/>
          <w:sz w:val="21"/>
          <w:szCs w:val="21"/>
          <w:u w:val="single"/>
          <w:lang w:eastAsia="zh-CN"/>
        </w:rPr>
        <w:t xml:space="preserve"> </w:t>
      </w:r>
      <w:r>
        <w:rPr>
          <w:rFonts w:hint="eastAsia" w:asciiTheme="minorEastAsia" w:hAnsiTheme="minorEastAsia" w:eastAsiaTheme="minorEastAsia" w:cstheme="minorEastAsia"/>
          <w:snapToGrid w:val="0"/>
          <w:color w:val="FF0000"/>
          <w:kern w:val="0"/>
          <w:sz w:val="21"/>
          <w:szCs w:val="21"/>
          <w:u w:val="single"/>
          <w:lang w:val="en-US" w:eastAsia="zh-CN"/>
        </w:rPr>
        <w:t xml:space="preserve">1 </w:t>
      </w:r>
      <w:r>
        <w:rPr>
          <w:rFonts w:hint="eastAsia" w:asciiTheme="minorEastAsia" w:hAnsiTheme="minorEastAsia" w:eastAsiaTheme="minorEastAsia" w:cstheme="minorEastAsia"/>
          <w:snapToGrid w:val="0"/>
          <w:color w:val="FF0000"/>
          <w:kern w:val="0"/>
          <w:sz w:val="21"/>
          <w:szCs w:val="21"/>
          <w:u w:val="single"/>
        </w:rPr>
        <w:t>日</w:t>
      </w:r>
      <w:r>
        <w:rPr>
          <w:rFonts w:hint="eastAsia" w:asciiTheme="minorEastAsia" w:hAnsiTheme="minorEastAsia" w:eastAsiaTheme="minorEastAsia" w:cstheme="minorEastAsia"/>
          <w:snapToGrid w:val="0"/>
          <w:color w:val="FF000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color w:val="FF0000"/>
          <w:kern w:val="0"/>
          <w:sz w:val="21"/>
          <w:szCs w:val="21"/>
          <w:u w:val="single"/>
          <w:lang w:val="en-US" w:eastAsia="zh-CN"/>
        </w:rPr>
        <w:t xml:space="preserve"> 20 </w:t>
      </w:r>
      <w:r>
        <w:rPr>
          <w:rFonts w:hint="eastAsia" w:asciiTheme="minorEastAsia" w:hAnsiTheme="minorEastAsia" w:eastAsiaTheme="minorEastAsia" w:cstheme="minorEastAsia"/>
          <w:snapToGrid w:val="0"/>
          <w:color w:val="FF0000"/>
          <w:kern w:val="0"/>
          <w:sz w:val="21"/>
          <w:szCs w:val="21"/>
        </w:rPr>
        <w:t>万元不少于</w:t>
      </w:r>
      <w:r>
        <w:rPr>
          <w:rFonts w:hint="eastAsia" w:asciiTheme="minorEastAsia" w:hAnsiTheme="minorEastAsia" w:eastAsiaTheme="minorEastAsia" w:cstheme="minorEastAsia"/>
          <w:snapToGrid w:val="0"/>
          <w:color w:val="FF0000"/>
          <w:kern w:val="0"/>
          <w:sz w:val="21"/>
          <w:szCs w:val="21"/>
          <w:u w:val="single"/>
          <w:lang w:eastAsia="zh-CN"/>
        </w:rPr>
        <w:t xml:space="preserve"> </w:t>
      </w:r>
      <w:r>
        <w:rPr>
          <w:rFonts w:hint="eastAsia" w:asciiTheme="minorEastAsia" w:hAnsiTheme="minorEastAsia" w:eastAsiaTheme="minorEastAsia" w:cstheme="minorEastAsia"/>
          <w:snapToGrid w:val="0"/>
          <w:color w:val="FF0000"/>
          <w:kern w:val="0"/>
          <w:sz w:val="21"/>
          <w:szCs w:val="21"/>
          <w:u w:val="single"/>
          <w:lang w:val="en-US" w:eastAsia="zh-CN"/>
        </w:rPr>
        <w:t xml:space="preserve">1 </w:t>
      </w:r>
      <w:r>
        <w:rPr>
          <w:rFonts w:hint="eastAsia" w:asciiTheme="minorEastAsia" w:hAnsiTheme="minorEastAsia" w:eastAsiaTheme="minorEastAsia" w:cstheme="minorEastAsia"/>
          <w:snapToGrid w:val="0"/>
          <w:color w:val="FF0000"/>
          <w:kern w:val="0"/>
          <w:sz w:val="21"/>
          <w:szCs w:val="21"/>
        </w:rPr>
        <w:t>份（附合同扫描件，合同签订时间，合同金额应明晰可辨）</w:t>
      </w:r>
      <w:r>
        <w:rPr>
          <w:rFonts w:hint="eastAsia" w:asciiTheme="minorEastAsia" w:hAnsiTheme="minorEastAsia" w:eastAsiaTheme="minorEastAsia" w:cstheme="minorEastAsia"/>
          <w:snapToGrid w:val="0"/>
          <w:kern w:val="0"/>
          <w:sz w:val="21"/>
          <w:szCs w:val="21"/>
        </w:rPr>
        <w:t>。</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w:t>
      </w:r>
      <w:r>
        <w:rPr>
          <w:rFonts w:hint="eastAsia" w:asciiTheme="minorEastAsia" w:hAnsiTheme="minorEastAsia" w:eastAsiaTheme="minorEastAsia" w:cstheme="minorEastAsia"/>
          <w:snapToGrid w:val="0"/>
          <w:kern w:val="0"/>
          <w:sz w:val="21"/>
          <w:szCs w:val="21"/>
          <w:lang w:val="en-US" w:eastAsia="zh-CN"/>
        </w:rPr>
        <w:t>四</w:t>
      </w:r>
      <w:r>
        <w:rPr>
          <w:rFonts w:hint="eastAsia" w:asciiTheme="minorEastAsia" w:hAnsiTheme="minorEastAsia" w:eastAsiaTheme="minorEastAsia" w:cstheme="minorEastAsia"/>
          <w:snapToGrid w:val="0"/>
          <w:kern w:val="0"/>
          <w:sz w:val="21"/>
          <w:szCs w:val="21"/>
        </w:rPr>
        <w:t>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3</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lang w:val="en-US" w:eastAsia="zh-CN"/>
        </w:rPr>
        <w:t>2、</w:t>
      </w:r>
      <w:r>
        <w:rPr>
          <w:rFonts w:hint="eastAsia" w:asciiTheme="minorEastAsia" w:hAnsiTheme="minorEastAsia" w:eastAsiaTheme="minorEastAsia" w:cstheme="minorEastAsia"/>
          <w:snapToGrid w:val="0"/>
          <w:kern w:val="0"/>
          <w:sz w:val="21"/>
          <w:szCs w:val="21"/>
          <w:lang w:val="en-US" w:eastAsia="zh-CN"/>
        </w:rPr>
        <w:t>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imes New Roman" w:hAnsi="Times New Roman" w:eastAsia="宋体" w:cs="Times New Roman"/>
          <w:snapToGrid/>
          <w:kern w:val="2"/>
          <w:sz w:val="21"/>
          <w:szCs w:val="24"/>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82" w:firstLineChars="200"/>
        <w:textAlignment w:val="auto"/>
        <w:outlineLvl w:val="1"/>
        <w:rPr>
          <w:rFonts w:hint="eastAsia" w:ascii="仿宋" w:hAnsi="仿宋" w:eastAsia="仿宋" w:cs="仿宋_GB2312"/>
          <w:b/>
          <w:bCs/>
          <w:sz w:val="24"/>
          <w:lang w:val="en-US" w:eastAsia="zh-CN"/>
        </w:rPr>
      </w:pPr>
      <w:bookmarkStart w:id="46" w:name="_Toc24795"/>
      <w:bookmarkStart w:id="47" w:name="_Toc20290"/>
      <w:r>
        <w:rPr>
          <w:rFonts w:hint="eastAsia" w:ascii="仿宋" w:hAnsi="仿宋" w:eastAsia="仿宋" w:cs="仿宋_GB2312"/>
          <w:b/>
          <w:bCs/>
          <w:sz w:val="24"/>
          <w:lang w:val="en-US" w:eastAsia="zh-CN"/>
        </w:rPr>
        <w:t>四、选择文件的获取（网上下载）</w:t>
      </w:r>
      <w:bookmarkEnd w:id="46"/>
      <w:bookmarkEnd w:id="47"/>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spacing w:val="0"/>
          <w:kern w:val="0"/>
          <w:sz w:val="21"/>
          <w:szCs w:val="21"/>
        </w:rPr>
        <w:t>本项目</w:t>
      </w:r>
      <w:r>
        <w:rPr>
          <w:rFonts w:hint="eastAsia" w:asciiTheme="minorEastAsia" w:hAnsiTheme="minorEastAsia" w:eastAsiaTheme="minorEastAsia" w:cstheme="minorEastAsia"/>
          <w:snapToGrid w:val="0"/>
          <w:spacing w:val="0"/>
          <w:kern w:val="0"/>
          <w:sz w:val="21"/>
          <w:szCs w:val="21"/>
          <w:lang w:val="en-US" w:eastAsia="zh-CN"/>
        </w:rPr>
        <w:t>选择文件</w:t>
      </w:r>
      <w:r>
        <w:rPr>
          <w:rFonts w:hint="eastAsia" w:asciiTheme="minorEastAsia" w:hAnsiTheme="minorEastAsia" w:eastAsiaTheme="minorEastAsia" w:cstheme="minorEastAsia"/>
          <w:snapToGrid w:val="0"/>
          <w:spacing w:val="0"/>
          <w:kern w:val="0"/>
          <w:sz w:val="21"/>
          <w:szCs w:val="21"/>
        </w:rPr>
        <w:t xml:space="preserve"> </w:t>
      </w:r>
      <w:r>
        <w:rPr>
          <w:rFonts w:hint="eastAsia" w:asciiTheme="minorEastAsia" w:hAnsiTheme="minorEastAsia" w:eastAsiaTheme="minorEastAsia" w:cstheme="minorEastAsia"/>
          <w:snapToGrid w:val="0"/>
          <w:kern w:val="0"/>
          <w:sz w:val="21"/>
          <w:szCs w:val="21"/>
        </w:rPr>
        <w:t>(补充、澄清、修改文件) 以网</w:t>
      </w:r>
      <w:r>
        <w:rPr>
          <w:rFonts w:hint="eastAsia" w:asciiTheme="minorEastAsia" w:hAnsiTheme="minorEastAsia" w:eastAsiaTheme="minorEastAsia" w:cstheme="minorEastAsia"/>
          <w:snapToGrid w:val="0"/>
          <w:kern w:val="0"/>
          <w:sz w:val="21"/>
          <w:szCs w:val="21"/>
          <w:lang w:val="en-US" w:eastAsia="zh-CN"/>
        </w:rPr>
        <w:t>上</w:t>
      </w:r>
      <w:r>
        <w:rPr>
          <w:rFonts w:hint="eastAsia" w:asciiTheme="minorEastAsia" w:hAnsiTheme="minorEastAsia" w:eastAsiaTheme="minorEastAsia" w:cstheme="minorEastAsia"/>
          <w:snapToGrid w:val="0"/>
          <w:kern w:val="0"/>
          <w:sz w:val="21"/>
          <w:szCs w:val="21"/>
        </w:rPr>
        <w:t>下载方</w:t>
      </w:r>
      <w:r>
        <w:rPr>
          <w:rFonts w:hint="eastAsia" w:asciiTheme="minorEastAsia" w:hAnsiTheme="minorEastAsia" w:eastAsiaTheme="minorEastAsia" w:cstheme="minorEastAsia"/>
          <w:snapToGrid w:val="0"/>
          <w:spacing w:val="0"/>
          <w:kern w:val="0"/>
          <w:sz w:val="21"/>
          <w:szCs w:val="21"/>
        </w:rPr>
        <w:t>式发放。如需图纸请</w:t>
      </w:r>
      <w:r>
        <w:rPr>
          <w:rFonts w:hint="eastAsia" w:asciiTheme="minorEastAsia" w:hAnsiTheme="minorEastAsia" w:eastAsiaTheme="minorEastAsia" w:cstheme="minorEastAsia"/>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napToGrid w:val="0"/>
          <w:kern w:val="0"/>
          <w:szCs w:val="21"/>
          <w:lang w:val="en-US" w:eastAsia="zh-CN"/>
        </w:rPr>
      </w:pPr>
      <w:r>
        <w:rPr>
          <w:rFonts w:hint="eastAsia" w:asciiTheme="minorEastAsia" w:hAnsiTheme="minorEastAsia" w:eastAsiaTheme="minorEastAsia" w:cstheme="minorEastAsia"/>
          <w:snapToGrid w:val="0"/>
          <w:kern w:val="0"/>
          <w:sz w:val="21"/>
          <w:szCs w:val="21"/>
          <w:lang w:val="en-US" w:eastAsia="zh-CN"/>
        </w:rPr>
        <w:t>2、选择文件网上下载时间：</w:t>
      </w:r>
      <w:r>
        <w:rPr>
          <w:rFonts w:hint="eastAsia" w:asciiTheme="minorEastAsia" w:hAnsiTheme="minorEastAsia" w:eastAsiaTheme="minorEastAsia" w:cstheme="minorEastAsia"/>
          <w:bCs w:val="0"/>
          <w:snapToGrid w:val="0"/>
          <w:kern w:val="0"/>
          <w:sz w:val="21"/>
          <w:szCs w:val="21"/>
          <w:lang w:val="en-US" w:eastAsia="zh-CN"/>
        </w:rPr>
        <w:t>2026年5月29日</w:t>
      </w:r>
      <w:r>
        <w:rPr>
          <w:rFonts w:hint="eastAsia" w:asciiTheme="minorEastAsia" w:hAnsiTheme="minorEastAsia" w:eastAsiaTheme="minorEastAsia" w:cstheme="minorEastAsia"/>
          <w:bCs w:val="0"/>
          <w:snapToGrid w:val="0"/>
          <w:kern w:val="0"/>
          <w:sz w:val="21"/>
          <w:szCs w:val="21"/>
          <w:lang w:eastAsia="zh-CN"/>
        </w:rPr>
        <w:t>至</w:t>
      </w:r>
      <w:r>
        <w:rPr>
          <w:rFonts w:hint="eastAsia" w:asciiTheme="minorEastAsia" w:hAnsiTheme="minorEastAsia" w:eastAsiaTheme="minorEastAsia" w:cstheme="minorEastAsia"/>
          <w:bCs w:val="0"/>
          <w:snapToGrid w:val="0"/>
          <w:kern w:val="0"/>
          <w:sz w:val="21"/>
          <w:szCs w:val="21"/>
          <w:lang w:val="en-US" w:eastAsia="zh-CN"/>
        </w:rPr>
        <w:t>2026年6月5日。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spacing w:val="0"/>
          <w:kern w:val="0"/>
          <w:sz w:val="21"/>
          <w:szCs w:val="21"/>
        </w:rPr>
        <w:t>澄清、补充、修改等更正补</w:t>
      </w:r>
      <w:r>
        <w:rPr>
          <w:rFonts w:hint="eastAsia" w:asciiTheme="minorEastAsia" w:hAnsiTheme="minorEastAsia" w:eastAsiaTheme="minorEastAsia" w:cstheme="minorEastAsia"/>
          <w:snapToGrid w:val="0"/>
          <w:kern w:val="0"/>
          <w:sz w:val="21"/>
          <w:szCs w:val="21"/>
        </w:rPr>
        <w:t>充公告请自行登录杭州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snapToGrid w:val="0"/>
          <w:kern w:val="0"/>
          <w:sz w:val="21"/>
          <w:szCs w:val="21"/>
        </w:rPr>
        <w:t>(http://hzjtgdj.yesshang.cn/index.php</w:t>
      </w:r>
      <w:r>
        <w:rPr>
          <w:rFonts w:hint="eastAsia" w:asciiTheme="minorEastAsia" w:hAnsiTheme="minorEastAsia" w:eastAsiaTheme="minorEastAsia" w:cstheme="minorEastAsia"/>
          <w:snapToGrid w:val="0"/>
          <w:spacing w:val="0"/>
          <w:kern w:val="0"/>
          <w:sz w:val="21"/>
          <w:szCs w:val="21"/>
        </w:rPr>
        <w:t>)进行下载</w:t>
      </w:r>
      <w:r>
        <w:rPr>
          <w:rFonts w:hint="eastAsia" w:asciiTheme="minorEastAsia" w:hAnsiTheme="minorEastAsia" w:eastAsiaTheme="minorEastAsia" w:cstheme="minorEastAsia"/>
          <w:snapToGrid w:val="0"/>
          <w:kern w:val="0"/>
          <w:sz w:val="21"/>
          <w:szCs w:val="21"/>
        </w:rPr>
        <w:t>，不再另行通知。</w:t>
      </w:r>
    </w:p>
    <w:p w14:paraId="543A2096">
      <w:pPr>
        <w:widowControl/>
        <w:tabs>
          <w:tab w:val="left" w:pos="5580"/>
        </w:tabs>
        <w:autoSpaceDE w:val="0"/>
        <w:autoSpaceDN w:val="0"/>
        <w:adjustRightInd w:val="0"/>
        <w:spacing w:line="432" w:lineRule="auto"/>
        <w:ind w:left="0" w:firstLine="420" w:firstLineChars="200"/>
        <w:rPr>
          <w:rFonts w:hint="eastAsia" w:ascii="仿宋" w:hAnsi="仿宋" w:eastAsia="仿宋" w:cs="仿宋"/>
          <w:bCs/>
          <w:kern w:val="0"/>
          <w:sz w:val="24"/>
          <w:lang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bCs w:val="0"/>
          <w:snapToGrid w:val="0"/>
          <w:kern w:val="0"/>
          <w:sz w:val="21"/>
          <w:szCs w:val="21"/>
          <w:lang w:eastAsia="zh-CN"/>
        </w:rPr>
        <w:t>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人对</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文件有疑问的，</w:t>
      </w:r>
      <w:r>
        <w:rPr>
          <w:rFonts w:hint="eastAsia" w:asciiTheme="minorEastAsia" w:hAnsiTheme="minorEastAsia" w:eastAsiaTheme="minorEastAsia" w:cstheme="minorEastAsia"/>
          <w:bCs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color w:val="auto"/>
          <w:kern w:val="0"/>
          <w:sz w:val="21"/>
          <w:szCs w:val="21"/>
          <w:lang w:val="en-US" w:eastAsia="zh-CN"/>
        </w:rPr>
        <w:t>13282800863</w:t>
      </w:r>
      <w:r>
        <w:rPr>
          <w:rFonts w:hint="eastAsia" w:asciiTheme="minorEastAsia" w:hAnsiTheme="minorEastAsia" w:eastAsiaTheme="minorEastAsia" w:cstheme="minorEastAsia"/>
          <w:bCs w:val="0"/>
          <w:snapToGrid w:val="0"/>
          <w:kern w:val="0"/>
          <w:sz w:val="21"/>
          <w:szCs w:val="21"/>
          <w:lang w:val="en-US" w:eastAsia="zh-CN"/>
        </w:rPr>
        <w:t>）进行提问</w:t>
      </w:r>
      <w:r>
        <w:rPr>
          <w:rFonts w:hint="eastAsia" w:asciiTheme="minorEastAsia" w:hAnsiTheme="minorEastAsia" w:eastAsiaTheme="minorEastAsia" w:cstheme="minorEastAsia"/>
          <w:bCs w:val="0"/>
          <w:snapToGrid w:val="0"/>
          <w:kern w:val="0"/>
          <w:sz w:val="21"/>
          <w:szCs w:val="21"/>
          <w:lang w:eastAsia="zh-CN"/>
        </w:rPr>
        <w:t>。提交疑问截止日为</w:t>
      </w:r>
      <w:r>
        <w:rPr>
          <w:rFonts w:hint="eastAsia" w:asciiTheme="minorEastAsia" w:hAnsiTheme="minorEastAsia" w:eastAsiaTheme="minorEastAsia" w:cstheme="minorEastAsia"/>
          <w:b/>
          <w:bCs/>
          <w:snapToGrid w:val="0"/>
          <w:kern w:val="0"/>
          <w:sz w:val="21"/>
          <w:szCs w:val="21"/>
          <w:u w:val="single"/>
          <w:lang w:val="en-US" w:eastAsia="zh-CN"/>
        </w:rPr>
        <w:t xml:space="preserve">2026年6月1日17：00 </w:t>
      </w:r>
      <w:r>
        <w:rPr>
          <w:rFonts w:hint="eastAsia" w:asciiTheme="minorEastAsia" w:hAnsiTheme="minorEastAsia" w:eastAsiaTheme="minorEastAsia" w:cstheme="minorEastAsia"/>
          <w:bCs w:val="0"/>
          <w:snapToGrid w:val="0"/>
          <w:kern w:val="0"/>
          <w:sz w:val="21"/>
          <w:szCs w:val="21"/>
          <w:lang w:eastAsia="zh-CN"/>
        </w:rPr>
        <w:t>。</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人将于</w:t>
      </w:r>
      <w:r>
        <w:rPr>
          <w:rFonts w:hint="eastAsia" w:asciiTheme="minorEastAsia" w:hAnsiTheme="minorEastAsia" w:eastAsiaTheme="minorEastAsia" w:cstheme="minorEastAsia"/>
          <w:b/>
          <w:bCs/>
          <w:snapToGrid w:val="0"/>
          <w:kern w:val="0"/>
          <w:sz w:val="21"/>
          <w:szCs w:val="21"/>
          <w:u w:val="single"/>
          <w:lang w:eastAsia="zh-CN"/>
        </w:rPr>
        <w:t xml:space="preserve"> </w:t>
      </w:r>
      <w:r>
        <w:rPr>
          <w:rFonts w:hint="eastAsia" w:asciiTheme="minorEastAsia" w:hAnsiTheme="minorEastAsia" w:eastAsiaTheme="minorEastAsia" w:cstheme="minorEastAsia"/>
          <w:b/>
          <w:bCs/>
          <w:snapToGrid w:val="0"/>
          <w:kern w:val="0"/>
          <w:sz w:val="21"/>
          <w:szCs w:val="21"/>
          <w:u w:val="single"/>
          <w:lang w:val="en-US" w:eastAsia="zh-CN"/>
        </w:rPr>
        <w:t xml:space="preserve">2026年6月2日17：00 </w:t>
      </w:r>
      <w:r>
        <w:rPr>
          <w:rFonts w:hint="eastAsia" w:asciiTheme="minorEastAsia" w:hAnsiTheme="minorEastAsia" w:eastAsiaTheme="minorEastAsia" w:cstheme="minorEastAsia"/>
          <w:bCs w:val="0"/>
          <w:snapToGrid w:val="0"/>
          <w:kern w:val="0"/>
          <w:sz w:val="21"/>
          <w:szCs w:val="21"/>
          <w:lang w:eastAsia="zh-CN"/>
        </w:rPr>
        <w:t>前在</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bCs w:val="0"/>
          <w:snapToGrid w:val="0"/>
          <w:kern w:val="0"/>
          <w:sz w:val="21"/>
          <w:szCs w:val="21"/>
          <w:lang w:eastAsia="zh-CN"/>
        </w:rPr>
        <w:t>上发布补充（答疑、澄清）文件。潜在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人应自行关注上述网站公告，</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人不再一一通知。</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人因自身贻误行为导致</w:t>
      </w:r>
      <w:r>
        <w:rPr>
          <w:rFonts w:hint="eastAsia" w:asciiTheme="minorEastAsia" w:hAnsiTheme="minorEastAsia" w:eastAsiaTheme="minorEastAsia" w:cstheme="minorEastAsia"/>
          <w:bCs w:val="0"/>
          <w:snapToGrid w:val="0"/>
          <w:kern w:val="0"/>
          <w:sz w:val="21"/>
          <w:szCs w:val="21"/>
          <w:lang w:val="en-US" w:eastAsia="zh-CN"/>
        </w:rPr>
        <w:t>报价</w:t>
      </w:r>
      <w:r>
        <w:rPr>
          <w:rFonts w:hint="eastAsia" w:asciiTheme="minorEastAsia" w:hAnsiTheme="minorEastAsia" w:eastAsiaTheme="minorEastAsia" w:cstheme="minorEastAsia"/>
          <w:bCs w:val="0"/>
          <w:snapToGrid w:val="0"/>
          <w:kern w:val="0"/>
          <w:sz w:val="21"/>
          <w:szCs w:val="21"/>
          <w:lang w:eastAsia="zh-CN"/>
        </w:rPr>
        <w:t>失败的，责任自负。</w:t>
      </w:r>
    </w:p>
    <w:p w14:paraId="3CA6508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82" w:firstLineChars="200"/>
        <w:textAlignment w:val="auto"/>
        <w:outlineLvl w:val="1"/>
        <w:rPr>
          <w:rFonts w:hint="default" w:ascii="仿宋" w:hAnsi="仿宋" w:eastAsia="仿宋" w:cs="仿宋_GB2312"/>
          <w:b/>
          <w:bCs/>
          <w:sz w:val="24"/>
          <w:lang w:val="en-US" w:eastAsia="zh-CN"/>
        </w:rPr>
      </w:pPr>
      <w:bookmarkStart w:id="48" w:name="_Toc9459"/>
      <w:bookmarkStart w:id="49" w:name="_Toc32293"/>
      <w:r>
        <w:rPr>
          <w:rFonts w:hint="eastAsia" w:ascii="仿宋" w:hAnsi="仿宋" w:eastAsia="仿宋" w:cs="仿宋_GB2312"/>
          <w:b/>
          <w:bCs/>
          <w:sz w:val="24"/>
          <w:lang w:val="en-US" w:eastAsia="zh-CN"/>
        </w:rPr>
        <w:t>五、响应文件递交时间、地点和要求（线下报价）</w:t>
      </w:r>
      <w:bookmarkEnd w:id="48"/>
      <w:bookmarkEnd w:id="49"/>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eastAsiaTheme="minorEastAsia" w:cstheme="minorEastAsia"/>
          <w:snapToGrid w:val="0"/>
          <w:color w:val="auto"/>
          <w:kern w:val="0"/>
          <w:sz w:val="21"/>
          <w:szCs w:val="21"/>
          <w:u w:val="single"/>
          <w:lang w:val="en-US" w:eastAsia="zh-CN"/>
        </w:rPr>
        <w:t xml:space="preserve"> 6 </w:t>
      </w:r>
      <w:r>
        <w:rPr>
          <w:rFonts w:hint="eastAsia" w:asciiTheme="minorEastAsia" w:hAnsiTheme="minorEastAsia" w:eastAsiaTheme="minorEastAsia" w:cstheme="minorEastAsia"/>
          <w:snapToGrid w:val="0"/>
          <w:color w:val="auto"/>
          <w:kern w:val="0"/>
          <w:sz w:val="21"/>
          <w:szCs w:val="21"/>
        </w:rPr>
        <w:t>月</w:t>
      </w: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snapToGrid w:val="0"/>
          <w:color w:val="auto"/>
          <w:kern w:val="0"/>
          <w:sz w:val="21"/>
          <w:szCs w:val="21"/>
          <w:u w:val="single"/>
          <w:lang w:val="en-US" w:eastAsia="zh-CN"/>
        </w:rPr>
        <w:t xml:space="preserve"> 5 </w:t>
      </w:r>
      <w:r>
        <w:rPr>
          <w:rFonts w:hint="eastAsia" w:asciiTheme="minorEastAsia" w:hAnsiTheme="minorEastAsia" w:eastAsiaTheme="minorEastAsia" w:cstheme="minorEastAsia"/>
          <w:snapToGrid w:val="0"/>
          <w:color w:val="auto"/>
          <w:kern w:val="0"/>
          <w:sz w:val="21"/>
          <w:szCs w:val="21"/>
        </w:rPr>
        <w:t>日</w:t>
      </w:r>
      <w:r>
        <w:rPr>
          <w:rFonts w:hint="eastAsia" w:asciiTheme="minorEastAsia" w:hAnsiTheme="minorEastAsia" w:eastAsiaTheme="minorEastAsia" w:cstheme="minorEastAsia"/>
          <w:snapToGrid w:val="0"/>
          <w:color w:val="auto"/>
          <w:kern w:val="0"/>
          <w:sz w:val="21"/>
          <w:szCs w:val="21"/>
          <w:u w:val="single"/>
          <w:lang w:val="en-US" w:eastAsia="zh-CN"/>
        </w:rPr>
        <w:t xml:space="preserve"> 10 </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u w:val="single"/>
          <w:lang w:val="en-US" w:eastAsia="zh-CN"/>
        </w:rPr>
        <w:t xml:space="preserve"> 00 </w:t>
      </w:r>
      <w:r>
        <w:rPr>
          <w:rFonts w:hint="eastAsia" w:asciiTheme="minorEastAsia" w:hAnsiTheme="minorEastAsia" w:eastAsiaTheme="minorEastAsia" w:cstheme="minorEastAsia"/>
          <w:snapToGrid w:val="0"/>
          <w:color w:val="auto"/>
          <w:kern w:val="0"/>
          <w:sz w:val="21"/>
          <w:szCs w:val="21"/>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bCs/>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bCs/>
          <w:snapToGrid w:val="0"/>
          <w:color w:val="auto"/>
          <w:kern w:val="0"/>
          <w:sz w:val="21"/>
          <w:szCs w:val="21"/>
        </w:rPr>
        <w:t>逾期送达或未密封予以拒收</w:t>
      </w:r>
      <w:r>
        <w:rPr>
          <w:rFonts w:hint="eastAsia" w:asciiTheme="minorEastAsia" w:hAnsiTheme="minorEastAsia" w:eastAsiaTheme="minorEastAsia" w:cstheme="minorEastAsia"/>
          <w:b/>
          <w:bCs/>
          <w:snapToGrid w:val="0"/>
          <w:color w:val="auto"/>
          <w:kern w:val="0"/>
          <w:sz w:val="21"/>
          <w:szCs w:val="21"/>
          <w:lang w:eastAsia="zh-CN"/>
        </w:rPr>
        <w:t>。</w:t>
      </w:r>
    </w:p>
    <w:p w14:paraId="3D0317AA">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2"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
          <w:bCs/>
          <w:snapToGrid w:val="0"/>
          <w:color w:val="auto"/>
          <w:kern w:val="0"/>
          <w:szCs w:val="21"/>
        </w:rPr>
        <w:t>纸质报价文件未</w:t>
      </w:r>
      <w:r>
        <w:rPr>
          <w:rFonts w:hint="eastAsia" w:asciiTheme="minorEastAsia" w:hAnsiTheme="minorEastAsia" w:eastAsiaTheme="minorEastAsia" w:cstheme="minorEastAsia"/>
          <w:b/>
          <w:bCs/>
          <w:snapToGrid w:val="0"/>
          <w:color w:val="auto"/>
          <w:kern w:val="0"/>
          <w:szCs w:val="21"/>
          <w:lang w:val="en-US" w:eastAsia="zh-CN"/>
        </w:rPr>
        <w:t>如期</w:t>
      </w:r>
      <w:r>
        <w:rPr>
          <w:rFonts w:hint="eastAsia" w:asciiTheme="minorEastAsia" w:hAnsiTheme="minorEastAsia" w:eastAsiaTheme="minorEastAsia" w:cstheme="minorEastAsia"/>
          <w:b/>
          <w:bCs/>
          <w:snapToGrid w:val="0"/>
          <w:color w:val="auto"/>
          <w:kern w:val="0"/>
          <w:szCs w:val="21"/>
        </w:rPr>
        <w:t>递交或被拒收</w:t>
      </w:r>
      <w:r>
        <w:rPr>
          <w:rFonts w:hint="eastAsia" w:asciiTheme="minorEastAsia" w:hAnsiTheme="minorEastAsia" w:eastAsiaTheme="minorEastAsia" w:cstheme="minorEastAsia"/>
          <w:b/>
          <w:bCs/>
          <w:snapToGrid w:val="0"/>
          <w:color w:val="auto"/>
          <w:kern w:val="0"/>
          <w:szCs w:val="21"/>
          <w:lang w:eastAsia="zh-CN"/>
        </w:rPr>
        <w:t>，</w:t>
      </w:r>
      <w:r>
        <w:rPr>
          <w:rFonts w:hint="eastAsia" w:asciiTheme="minorEastAsia" w:hAnsiTheme="minorEastAsia" w:eastAsiaTheme="minorEastAsia" w:cstheme="minorEastAsia"/>
          <w:b/>
          <w:bCs/>
          <w:snapToGrid w:val="0"/>
          <w:color w:val="auto"/>
          <w:kern w:val="0"/>
          <w:szCs w:val="21"/>
        </w:rPr>
        <w:t>均</w:t>
      </w:r>
      <w:r>
        <w:rPr>
          <w:rFonts w:hint="eastAsia" w:asciiTheme="minorEastAsia" w:hAnsiTheme="minorEastAsia" w:eastAsiaTheme="minorEastAsia" w:cstheme="minorEastAsia"/>
          <w:b/>
          <w:bCs/>
          <w:snapToGrid w:val="0"/>
          <w:color w:val="auto"/>
          <w:kern w:val="0"/>
          <w:szCs w:val="21"/>
          <w:lang w:val="en-US" w:eastAsia="zh-CN"/>
        </w:rPr>
        <w:t>视为放弃参加本次选择活动</w:t>
      </w:r>
      <w:r>
        <w:rPr>
          <w:rFonts w:hint="eastAsia" w:asciiTheme="minorEastAsia" w:hAnsiTheme="minorEastAsia" w:eastAsiaTheme="minorEastAsia" w:cstheme="minorEastAsia"/>
          <w:snapToGrid w:val="0"/>
          <w:color w:val="auto"/>
          <w:kern w:val="0"/>
          <w:sz w:val="21"/>
          <w:szCs w:val="21"/>
        </w:rPr>
        <w:t>。</w:t>
      </w:r>
    </w:p>
    <w:p w14:paraId="745738D1">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82" w:firstLineChars="200"/>
        <w:textAlignment w:val="auto"/>
        <w:outlineLvl w:val="1"/>
        <w:rPr>
          <w:rFonts w:hint="eastAsia" w:ascii="仿宋" w:hAnsi="仿宋" w:eastAsia="仿宋" w:cs="仿宋_GB2312"/>
          <w:b/>
          <w:bCs/>
          <w:sz w:val="24"/>
          <w:lang w:val="en-US" w:eastAsia="zh-CN"/>
        </w:rPr>
      </w:pPr>
      <w:bookmarkStart w:id="50" w:name="_Toc12696"/>
      <w:bookmarkStart w:id="51" w:name="_Toc28676"/>
      <w:r>
        <w:rPr>
          <w:rFonts w:hint="eastAsia" w:ascii="仿宋" w:hAnsi="仿宋" w:eastAsia="仿宋" w:cs="仿宋_GB2312"/>
          <w:b/>
          <w:bCs/>
          <w:sz w:val="24"/>
          <w:lang w:val="en-US" w:eastAsia="zh-CN"/>
        </w:rPr>
        <w:t>六、发布公告的媒介</w:t>
      </w:r>
      <w:bookmarkEnd w:id="50"/>
      <w:bookmarkEnd w:id="51"/>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82" w:firstLineChars="200"/>
        <w:textAlignment w:val="auto"/>
        <w:outlineLvl w:val="1"/>
        <w:rPr>
          <w:rFonts w:hint="default" w:ascii="仿宋" w:hAnsi="仿宋" w:eastAsia="仿宋" w:cs="仿宋_GB2312"/>
          <w:b/>
          <w:bCs/>
          <w:sz w:val="24"/>
          <w:lang w:val="en-US" w:eastAsia="zh-CN"/>
        </w:rPr>
      </w:pPr>
      <w:bookmarkStart w:id="52" w:name="_Toc20792"/>
      <w:bookmarkStart w:id="53" w:name="_Toc15666"/>
      <w:r>
        <w:rPr>
          <w:rFonts w:hint="eastAsia" w:ascii="仿宋" w:hAnsi="仿宋" w:eastAsia="仿宋" w:cs="仿宋_GB2312"/>
          <w:b/>
          <w:bCs/>
          <w:sz w:val="24"/>
          <w:lang w:val="en-US" w:eastAsia="zh-CN"/>
        </w:rPr>
        <w:t>七、联系方式</w:t>
      </w:r>
      <w:bookmarkEnd w:id="52"/>
      <w:bookmarkEnd w:id="53"/>
      <w:r>
        <w:rPr>
          <w:rFonts w:hint="eastAsia" w:ascii="仿宋" w:hAnsi="仿宋" w:eastAsia="仿宋" w:cs="仿宋_GB2312"/>
          <w:b/>
          <w:bCs/>
          <w:sz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color w:val="auto"/>
          <w:spacing w:val="-1"/>
          <w:sz w:val="21"/>
          <w:szCs w:val="21"/>
          <w:u w:val="single"/>
          <w:lang w:val="en-US" w:eastAsia="zh-CN"/>
        </w:rPr>
        <w:t xml:space="preserve"> 2026 </w:t>
      </w:r>
      <w:r>
        <w:rPr>
          <w:rFonts w:hint="eastAsia" w:asciiTheme="minorEastAsia" w:hAnsiTheme="minorEastAsia" w:eastAsiaTheme="minorEastAsia" w:cstheme="minorEastAsia"/>
          <w:color w:val="auto"/>
          <w:spacing w:val="-1"/>
          <w:sz w:val="21"/>
          <w:szCs w:val="21"/>
        </w:rPr>
        <w:t xml:space="preserve"> 年</w:t>
      </w:r>
      <w:r>
        <w:rPr>
          <w:rFonts w:hint="eastAsia" w:asciiTheme="minorEastAsia" w:hAnsiTheme="minorEastAsia" w:eastAsiaTheme="minorEastAsia" w:cstheme="minorEastAsia"/>
          <w:color w:val="auto"/>
          <w:spacing w:val="-1"/>
          <w:sz w:val="21"/>
          <w:szCs w:val="21"/>
          <w:u w:val="single" w:color="000000"/>
          <w:lang w:val="en-US" w:eastAsia="zh-CN"/>
        </w:rPr>
        <w:t xml:space="preserve"> 5 </w:t>
      </w:r>
      <w:r>
        <w:rPr>
          <w:rFonts w:hint="eastAsia" w:asciiTheme="minorEastAsia" w:hAnsiTheme="minorEastAsia" w:eastAsiaTheme="minorEastAsia" w:cstheme="minorEastAsia"/>
          <w:color w:val="auto"/>
          <w:spacing w:val="-1"/>
          <w:sz w:val="21"/>
          <w:szCs w:val="21"/>
        </w:rPr>
        <w:t>月</w:t>
      </w:r>
      <w:r>
        <w:rPr>
          <w:rFonts w:hint="eastAsia" w:asciiTheme="minorEastAsia" w:hAnsiTheme="minorEastAsia" w:eastAsiaTheme="minorEastAsia" w:cstheme="minorEastAsia"/>
          <w:color w:val="auto"/>
          <w:spacing w:val="-1"/>
          <w:sz w:val="21"/>
          <w:szCs w:val="21"/>
          <w:u w:val="single" w:color="000000"/>
        </w:rPr>
        <w:t xml:space="preserve"> </w:t>
      </w:r>
      <w:r>
        <w:rPr>
          <w:rFonts w:hint="eastAsia" w:asciiTheme="minorEastAsia" w:hAnsiTheme="minorEastAsia" w:eastAsiaTheme="minorEastAsia" w:cstheme="minorEastAsia"/>
          <w:color w:val="auto"/>
          <w:spacing w:val="-1"/>
          <w:sz w:val="21"/>
          <w:szCs w:val="21"/>
          <w:u w:val="single" w:color="000000"/>
          <w:lang w:val="en-US" w:eastAsia="zh-CN"/>
        </w:rPr>
        <w:t xml:space="preserve">29 </w:t>
      </w:r>
      <w:r>
        <w:rPr>
          <w:rFonts w:hint="eastAsia" w:asciiTheme="minorEastAsia" w:hAnsiTheme="minorEastAsia" w:eastAsiaTheme="minorEastAsia" w:cstheme="minorEastAsia"/>
          <w:color w:val="auto"/>
          <w:spacing w:val="-1"/>
          <w:sz w:val="21"/>
          <w:szCs w:val="21"/>
        </w:rPr>
        <w:t>日</w:t>
      </w:r>
      <w:r>
        <w:rPr>
          <w:rFonts w:hint="eastAsia" w:asciiTheme="minorEastAsia" w:hAnsiTheme="minorEastAsia" w:eastAsiaTheme="minorEastAsia" w:cstheme="minorEastAsia"/>
          <w:b w:val="0"/>
          <w:bCs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4" w:name="_Toc10913"/>
      <w:bookmarkStart w:id="55"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4"/>
      <w:bookmarkEnd w:id="55"/>
    </w:p>
    <w:tbl>
      <w:tblPr>
        <w:tblStyle w:val="2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270"/>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270"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270" w:type="dxa"/>
            <w:noWrap w:val="0"/>
            <w:vAlign w:val="center"/>
          </w:tcPr>
          <w:p w14:paraId="6A4918B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napToGrid w:val="0"/>
                <w:kern w:val="0"/>
                <w:sz w:val="21"/>
                <w:szCs w:val="21"/>
                <w:lang w:val="en-US" w:eastAsia="zh-CN"/>
              </w:rPr>
              <w:t>杭千高速公司2026年道路设施提升工程铣刨料回收</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270"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浙江省杭州市</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270" w:type="dxa"/>
            <w:noWrap w:val="0"/>
            <w:vAlign w:val="center"/>
          </w:tcPr>
          <w:p w14:paraId="46E9FF8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270"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270"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270"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270"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270"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270"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270"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270"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响应人名称</w:t>
            </w:r>
            <w:r>
              <w:rPr>
                <w:rFonts w:hint="eastAsia" w:asciiTheme="minorEastAsia" w:hAnsiTheme="minorEastAsia" w:eastAsiaTheme="minorEastAsia" w:cstheme="minorEastAsia"/>
                <w:b/>
                <w:bCs/>
                <w:snapToGrid w:val="0"/>
                <w:color w:val="auto"/>
                <w:kern w:val="0"/>
                <w:sz w:val="21"/>
                <w:szCs w:val="21"/>
              </w:rPr>
              <w:t>：</w:t>
            </w:r>
            <w:r>
              <w:rPr>
                <w:rFonts w:hint="eastAsia" w:asciiTheme="minorEastAsia" w:hAnsiTheme="minorEastAsia" w:eastAsiaTheme="minorEastAsia" w:cstheme="minorEastAsia"/>
                <w:b/>
                <w:bCs/>
                <w:snapToGrid w:val="0"/>
                <w:color w:val="auto"/>
                <w:kern w:val="0"/>
                <w:sz w:val="21"/>
                <w:szCs w:val="21"/>
                <w:lang w:eastAsia="zh-CN"/>
              </w:rPr>
              <w:t xml:space="preserve"> </w:t>
            </w:r>
            <w:r>
              <w:rPr>
                <w:rFonts w:hint="eastAsia" w:asciiTheme="minorEastAsia" w:hAnsiTheme="minorEastAsia" w:eastAsiaTheme="minorEastAsia" w:cstheme="minorEastAsia"/>
                <w:b/>
                <w:bCs/>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选择人</w:t>
            </w:r>
            <w:r>
              <w:rPr>
                <w:rFonts w:hint="eastAsia" w:asciiTheme="minorEastAsia" w:hAnsiTheme="minorEastAsia" w:eastAsiaTheme="minorEastAsia" w:cstheme="minorEastAsia"/>
                <w:b/>
                <w:bCs/>
                <w:snapToGrid w:val="0"/>
                <w:color w:val="auto"/>
                <w:kern w:val="0"/>
                <w:sz w:val="21"/>
                <w:szCs w:val="21"/>
              </w:rPr>
              <w:t>名称：杭州交通高等级公路养护有限公司</w:t>
            </w:r>
          </w:p>
          <w:p w14:paraId="30B117A3">
            <w:pPr>
              <w:autoSpaceDE w:val="0"/>
              <w:autoSpaceDN w:val="0"/>
              <w:adjustRightInd w:val="0"/>
              <w:snapToGrid w:val="0"/>
              <w:spacing w:before="160" w:beforeLines="50" w:line="360" w:lineRule="auto"/>
              <w:rPr>
                <w:rFonts w:hint="eastAsia" w:asciiTheme="minorEastAsia" w:hAnsiTheme="minorEastAsia" w:eastAsiaTheme="minorEastAsia" w:cstheme="minorEastAsia"/>
                <w:b/>
                <w:bCs/>
                <w:color w:val="auto"/>
                <w:spacing w:val="-1"/>
                <w:sz w:val="21"/>
                <w:szCs w:val="21"/>
                <w:u w:val="single"/>
                <w:lang w:val="en-US" w:eastAsia="zh-CN"/>
              </w:rPr>
            </w:pPr>
            <w:r>
              <w:rPr>
                <w:rFonts w:hint="eastAsia" w:asciiTheme="minorEastAsia" w:hAnsiTheme="minorEastAsia" w:eastAsiaTheme="minorEastAsia" w:cstheme="minorEastAsia"/>
                <w:b/>
                <w:bCs/>
                <w:color w:val="auto"/>
                <w:spacing w:val="-1"/>
                <w:sz w:val="21"/>
                <w:szCs w:val="21"/>
                <w:u w:val="single"/>
                <w:lang w:val="en-US" w:eastAsia="zh-CN"/>
              </w:rPr>
              <w:t xml:space="preserve">杭千高速公司2026年道路设施提升工程铣刨料回收响应文件 </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在</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b/>
                <w:bCs/>
                <w:snapToGrid w:val="0"/>
                <w:color w:val="auto"/>
                <w:kern w:val="0"/>
                <w:sz w:val="21"/>
                <w:szCs w:val="21"/>
              </w:rPr>
              <w:t>年</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6 </w:t>
            </w:r>
            <w:r>
              <w:rPr>
                <w:rFonts w:hint="eastAsia" w:asciiTheme="minorEastAsia" w:hAnsiTheme="minorEastAsia" w:eastAsiaTheme="minorEastAsia" w:cstheme="minorEastAsia"/>
                <w:b/>
                <w:bCs/>
                <w:snapToGrid w:val="0"/>
                <w:color w:val="auto"/>
                <w:kern w:val="0"/>
                <w:sz w:val="21"/>
                <w:szCs w:val="21"/>
              </w:rPr>
              <w:t>月</w:t>
            </w:r>
            <w:r>
              <w:rPr>
                <w:rFonts w:hint="eastAsia" w:asciiTheme="minorEastAsia" w:hAnsiTheme="minorEastAsia" w:eastAsiaTheme="minorEastAsia" w:cstheme="minorEastAsia"/>
                <w:b/>
                <w:bCs/>
                <w:snapToGrid w:val="0"/>
                <w:color w:val="auto"/>
                <w:kern w:val="0"/>
                <w:sz w:val="21"/>
                <w:szCs w:val="21"/>
                <w:lang w:val="en-US" w:eastAsia="zh-CN"/>
              </w:rPr>
              <w:t xml:space="preserve"> </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5 </w:t>
            </w:r>
            <w:r>
              <w:rPr>
                <w:rFonts w:hint="eastAsia" w:asciiTheme="minorEastAsia" w:hAnsiTheme="minorEastAsia" w:eastAsiaTheme="minorEastAsia" w:cstheme="minorEastAsia"/>
                <w:b/>
                <w:bCs/>
                <w:snapToGrid w:val="0"/>
                <w:color w:val="auto"/>
                <w:kern w:val="0"/>
                <w:sz w:val="21"/>
                <w:szCs w:val="21"/>
              </w:rPr>
              <w:t>日</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10 </w:t>
            </w:r>
            <w:r>
              <w:rPr>
                <w:rFonts w:hint="eastAsia" w:asciiTheme="minorEastAsia" w:hAnsiTheme="minorEastAsia" w:eastAsiaTheme="minorEastAsia" w:cstheme="minorEastAsia"/>
                <w:b/>
                <w:bCs/>
                <w:snapToGrid w:val="0"/>
                <w:color w:val="auto"/>
                <w:kern w:val="0"/>
                <w:sz w:val="21"/>
                <w:szCs w:val="21"/>
              </w:rPr>
              <w:t>时</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napToGrid w:val="0"/>
                <w:color w:val="auto"/>
                <w:kern w:val="0"/>
                <w:sz w:val="21"/>
                <w:szCs w:val="21"/>
              </w:rPr>
              <w:t>分（即开</w:t>
            </w:r>
            <w:r>
              <w:rPr>
                <w:rFonts w:hint="eastAsia" w:asciiTheme="minorEastAsia" w:hAnsiTheme="minorEastAsia" w:eastAsiaTheme="minorEastAsia" w:cstheme="minorEastAsia"/>
                <w:b/>
                <w:bCs/>
                <w:snapToGrid w:val="0"/>
                <w:color w:val="auto"/>
                <w:kern w:val="0"/>
                <w:sz w:val="21"/>
                <w:szCs w:val="21"/>
                <w:lang w:val="en-US" w:eastAsia="zh-CN"/>
              </w:rPr>
              <w:t>启</w:t>
            </w:r>
            <w:r>
              <w:rPr>
                <w:rFonts w:hint="eastAsia" w:asciiTheme="minorEastAsia" w:hAnsiTheme="minorEastAsia" w:eastAsiaTheme="minorEastAsia" w:cstheme="minorEastAsia"/>
                <w:b/>
                <w:bCs/>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270"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b/>
                <w:bCs/>
                <w:snapToGrid w:val="0"/>
                <w:color w:val="auto"/>
                <w:kern w:val="0"/>
                <w:sz w:val="21"/>
                <w:szCs w:val="21"/>
              </w:rPr>
              <w:t>年</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6 </w:t>
            </w:r>
            <w:r>
              <w:rPr>
                <w:rFonts w:hint="eastAsia" w:asciiTheme="minorEastAsia" w:hAnsiTheme="minorEastAsia" w:eastAsiaTheme="minorEastAsia" w:cstheme="minorEastAsia"/>
                <w:b/>
                <w:bCs/>
                <w:snapToGrid w:val="0"/>
                <w:color w:val="auto"/>
                <w:kern w:val="0"/>
                <w:sz w:val="21"/>
                <w:szCs w:val="21"/>
              </w:rPr>
              <w:t>月</w:t>
            </w:r>
            <w:r>
              <w:rPr>
                <w:rFonts w:hint="eastAsia" w:asciiTheme="minorEastAsia" w:hAnsiTheme="minorEastAsia" w:eastAsiaTheme="minorEastAsia" w:cstheme="minorEastAsia"/>
                <w:b/>
                <w:bCs/>
                <w:snapToGrid w:val="0"/>
                <w:color w:val="auto"/>
                <w:kern w:val="0"/>
                <w:sz w:val="21"/>
                <w:szCs w:val="21"/>
                <w:lang w:val="en-US" w:eastAsia="zh-CN"/>
              </w:rPr>
              <w:t xml:space="preserve"> </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5 </w:t>
            </w:r>
            <w:r>
              <w:rPr>
                <w:rFonts w:hint="eastAsia" w:asciiTheme="minorEastAsia" w:hAnsiTheme="minorEastAsia" w:eastAsiaTheme="minorEastAsia" w:cstheme="minorEastAsia"/>
                <w:b/>
                <w:bCs/>
                <w:snapToGrid w:val="0"/>
                <w:color w:val="auto"/>
                <w:kern w:val="0"/>
                <w:sz w:val="21"/>
                <w:szCs w:val="21"/>
              </w:rPr>
              <w:t>日</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10 </w:t>
            </w:r>
            <w:r>
              <w:rPr>
                <w:rFonts w:hint="eastAsia" w:asciiTheme="minorEastAsia" w:hAnsiTheme="minorEastAsia" w:eastAsiaTheme="minorEastAsia" w:cstheme="minorEastAsia"/>
                <w:b/>
                <w:bCs/>
                <w:snapToGrid w:val="0"/>
                <w:color w:val="auto"/>
                <w:kern w:val="0"/>
                <w:sz w:val="21"/>
                <w:szCs w:val="21"/>
              </w:rPr>
              <w:t>时</w:t>
            </w:r>
            <w:r>
              <w:rPr>
                <w:rFonts w:hint="eastAsia" w:asciiTheme="minorEastAsia" w:hAnsiTheme="minorEastAsia" w:eastAsiaTheme="minorEastAsia" w:cstheme="minorEastAsia"/>
                <w:b/>
                <w:bCs/>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napToGrid w:val="0"/>
                <w:color w:val="auto"/>
                <w:kern w:val="0"/>
                <w:sz w:val="21"/>
                <w:szCs w:val="21"/>
              </w:rPr>
              <w:t>分</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270"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270"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270"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270"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270"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270"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270"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经评审的最高价法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270"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270"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270"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270"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270"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25</w:t>
            </w:r>
          </w:p>
        </w:tc>
        <w:tc>
          <w:tcPr>
            <w:tcW w:w="8312"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270"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25.2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270"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270"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pageBreakBefore w:val="0"/>
        <w:widowControl w:val="0"/>
        <w:numPr>
          <w:ilvl w:val="0"/>
          <w:numId w:val="3"/>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6" w:name="_Toc14013"/>
      <w:bookmarkStart w:id="57" w:name="_Toc6847"/>
      <w:r>
        <w:rPr>
          <w:rFonts w:hint="eastAsia" w:ascii="宋体" w:hAnsi="宋体" w:cs="宋体"/>
          <w:bCs w:val="0"/>
          <w:snapToGrid w:val="0"/>
          <w:kern w:val="0"/>
          <w:sz w:val="32"/>
        </w:rPr>
        <w:t>采购需求（工程量清单）</w:t>
      </w:r>
      <w:bookmarkEnd w:id="56"/>
      <w:bookmarkEnd w:id="57"/>
    </w:p>
    <w:p w14:paraId="043CB16E">
      <w:pPr>
        <w:pageBreakBefore w:val="0"/>
        <w:widowControl w:val="0"/>
        <w:kinsoku/>
        <w:wordWrap/>
        <w:overflowPunct/>
        <w:topLinePunct w:val="0"/>
        <w:autoSpaceDE/>
        <w:autoSpaceDN/>
        <w:bidi w:val="0"/>
        <w:spacing w:before="160" w:beforeLines="50" w:after="160" w:afterLines="50"/>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杭千高速公司2026年道路设施提升工程铣刨料回收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25"/>
        <w:gridCol w:w="963"/>
        <w:gridCol w:w="1150"/>
        <w:gridCol w:w="1812"/>
        <w:gridCol w:w="1513"/>
        <w:gridCol w:w="1195"/>
      </w:tblGrid>
      <w:tr w14:paraId="673E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ign w:val="center"/>
          </w:tcPr>
          <w:p w14:paraId="6F534C68">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00028">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子目明细</w:t>
            </w:r>
          </w:p>
        </w:tc>
        <w:tc>
          <w:tcPr>
            <w:tcW w:w="963" w:type="dxa"/>
            <w:tcBorders>
              <w:top w:val="single" w:color="auto" w:sz="4" w:space="0"/>
              <w:left w:val="single" w:color="auto" w:sz="4" w:space="0"/>
              <w:bottom w:val="single" w:color="auto" w:sz="4" w:space="0"/>
              <w:right w:val="single" w:color="auto" w:sz="4" w:space="0"/>
              <w:tl2br w:val="nil"/>
              <w:tr2bl w:val="nil"/>
            </w:tcBorders>
            <w:noWrap/>
            <w:vAlign w:val="center"/>
          </w:tcPr>
          <w:p w14:paraId="7D9063A7">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150" w:type="dxa"/>
            <w:tcBorders>
              <w:top w:val="single" w:color="auto" w:sz="4" w:space="0"/>
              <w:left w:val="single" w:color="auto" w:sz="4" w:space="0"/>
              <w:bottom w:val="single" w:color="auto" w:sz="4" w:space="0"/>
              <w:right w:val="single" w:color="auto" w:sz="4" w:space="0"/>
              <w:tl2br w:val="nil"/>
              <w:tr2bl w:val="nil"/>
            </w:tcBorders>
            <w:noWrap/>
            <w:vAlign w:val="center"/>
          </w:tcPr>
          <w:p w14:paraId="18650919">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数量</w:t>
            </w:r>
          </w:p>
        </w:tc>
        <w:tc>
          <w:tcPr>
            <w:tcW w:w="1812" w:type="dxa"/>
            <w:tcBorders>
              <w:top w:val="single" w:color="auto" w:sz="4" w:space="0"/>
              <w:left w:val="single" w:color="auto" w:sz="4" w:space="0"/>
              <w:bottom w:val="single" w:color="auto" w:sz="4" w:space="0"/>
              <w:right w:val="single" w:color="auto" w:sz="4" w:space="0"/>
              <w:tl2br w:val="nil"/>
              <w:tr2bl w:val="nil"/>
            </w:tcBorders>
            <w:noWrap/>
            <w:vAlign w:val="center"/>
          </w:tcPr>
          <w:p w14:paraId="50CD1E96">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513" w:type="dxa"/>
            <w:tcBorders>
              <w:top w:val="single" w:color="auto" w:sz="4" w:space="0"/>
              <w:left w:val="single" w:color="auto" w:sz="4" w:space="0"/>
              <w:bottom w:val="single" w:color="auto" w:sz="4" w:space="0"/>
              <w:right w:val="single" w:color="auto" w:sz="4" w:space="0"/>
              <w:tl2br w:val="nil"/>
              <w:tr2bl w:val="nil"/>
            </w:tcBorders>
            <w:noWrap/>
            <w:vAlign w:val="center"/>
          </w:tcPr>
          <w:p w14:paraId="0EF0337F">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1195" w:type="dxa"/>
            <w:tcBorders>
              <w:top w:val="single" w:color="auto" w:sz="4" w:space="0"/>
              <w:left w:val="single" w:color="auto" w:sz="4" w:space="0"/>
              <w:bottom w:val="single" w:color="auto" w:sz="4" w:space="0"/>
              <w:right w:val="single" w:color="auto" w:sz="4" w:space="0"/>
              <w:tl2br w:val="nil"/>
              <w:tr2bl w:val="nil"/>
            </w:tcBorders>
            <w:noWrap/>
            <w:vAlign w:val="center"/>
          </w:tcPr>
          <w:p w14:paraId="46BDA7ED">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备注</w:t>
            </w:r>
          </w:p>
        </w:tc>
      </w:tr>
      <w:tr w14:paraId="3855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ign w:val="center"/>
          </w:tcPr>
          <w:p w14:paraId="0BC598F1">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43FFE">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沥青铣刨料</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E3AF2">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吨</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5577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48000</w:t>
            </w:r>
          </w:p>
        </w:tc>
        <w:tc>
          <w:tcPr>
            <w:tcW w:w="1812" w:type="dxa"/>
            <w:tcBorders>
              <w:top w:val="single" w:color="auto" w:sz="4" w:space="0"/>
              <w:left w:val="single" w:color="auto" w:sz="4" w:space="0"/>
              <w:bottom w:val="single" w:color="auto" w:sz="4" w:space="0"/>
              <w:right w:val="single" w:color="auto" w:sz="4" w:space="0"/>
              <w:tl2br w:val="nil"/>
              <w:tr2bl w:val="nil"/>
            </w:tcBorders>
            <w:noWrap/>
            <w:vAlign w:val="center"/>
          </w:tcPr>
          <w:p w14:paraId="595112EF">
            <w:pPr>
              <w:keepNext w:val="0"/>
              <w:keepLines w:val="0"/>
              <w:widowControl/>
              <w:suppressLineNumbers w:val="0"/>
              <w:jc w:val="center"/>
              <w:textAlignment w:val="center"/>
              <w:rPr>
                <w:rFonts w:hint="eastAsia" w:ascii="宋体" w:hAnsi="宋体" w:eastAsia="宋体" w:cs="宋体"/>
                <w:sz w:val="20"/>
                <w:szCs w:val="20"/>
              </w:rPr>
            </w:pPr>
          </w:p>
        </w:tc>
        <w:tc>
          <w:tcPr>
            <w:tcW w:w="1513" w:type="dxa"/>
            <w:tcBorders>
              <w:top w:val="single" w:color="auto" w:sz="4" w:space="0"/>
              <w:left w:val="single" w:color="auto" w:sz="4" w:space="0"/>
              <w:bottom w:val="single" w:color="auto" w:sz="4" w:space="0"/>
              <w:right w:val="single" w:color="auto" w:sz="4" w:space="0"/>
              <w:tl2br w:val="nil"/>
              <w:tr2bl w:val="nil"/>
            </w:tcBorders>
            <w:noWrap/>
            <w:vAlign w:val="center"/>
          </w:tcPr>
          <w:p w14:paraId="27103A53">
            <w:pPr>
              <w:widowControl w:val="0"/>
              <w:spacing w:beforeLines="0" w:afterLines="0"/>
              <w:jc w:val="center"/>
              <w:rPr>
                <w:rFonts w:hint="eastAsia" w:ascii="宋体" w:hAnsi="宋体" w:eastAsia="宋体" w:cs="宋体"/>
                <w:color w:val="000000"/>
                <w:sz w:val="20"/>
                <w:szCs w:val="20"/>
              </w:rPr>
            </w:pPr>
          </w:p>
        </w:tc>
        <w:tc>
          <w:tcPr>
            <w:tcW w:w="1195" w:type="dxa"/>
            <w:tcBorders>
              <w:top w:val="single" w:color="auto" w:sz="4" w:space="0"/>
              <w:left w:val="single" w:color="auto" w:sz="4" w:space="0"/>
              <w:right w:val="single" w:color="auto" w:sz="4" w:space="0"/>
              <w:tl2br w:val="nil"/>
              <w:tr2bl w:val="nil"/>
            </w:tcBorders>
            <w:noWrap/>
            <w:vAlign w:val="center"/>
          </w:tcPr>
          <w:p w14:paraId="3389F942">
            <w:pPr>
              <w:widowControl w:val="0"/>
              <w:spacing w:beforeLines="0" w:afterLines="0"/>
              <w:jc w:val="center"/>
              <w:rPr>
                <w:rFonts w:hint="eastAsia" w:ascii="宋体" w:hAnsi="宋体" w:eastAsia="宋体" w:cs="宋体"/>
                <w:color w:val="000000"/>
                <w:sz w:val="20"/>
                <w:szCs w:val="20"/>
              </w:rPr>
            </w:pPr>
          </w:p>
        </w:tc>
      </w:tr>
      <w:tr w14:paraId="022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ign w:val="center"/>
          </w:tcPr>
          <w:p w14:paraId="65E0EE0A">
            <w:pPr>
              <w:widowControl w:val="0"/>
              <w:spacing w:beforeLines="0" w:afterLines="0"/>
              <w:jc w:val="center"/>
              <w:rPr>
                <w:rFonts w:hint="default" w:ascii="宋体" w:hAnsi="宋体" w:eastAsia="宋体" w:cs="宋体"/>
                <w:color w:val="000000"/>
                <w:sz w:val="20"/>
                <w:szCs w:val="20"/>
                <w:lang w:val="en-US" w:eastAsia="zh-CN"/>
              </w:rPr>
            </w:pP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7572E">
            <w:pPr>
              <w:widowControl w:val="0"/>
              <w:spacing w:beforeLines="0" w:afterLines="0"/>
              <w:jc w:val="center"/>
              <w:rPr>
                <w:rFonts w:hint="default" w:ascii="宋体" w:hAnsi="宋体" w:eastAsia="宋体" w:cs="宋体"/>
                <w:color w:val="000000"/>
                <w:sz w:val="20"/>
                <w:szCs w:val="20"/>
                <w:lang w:val="en-US" w:eastAsia="zh-CN"/>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8A1BF">
            <w:pPr>
              <w:keepNext w:val="0"/>
              <w:keepLines w:val="0"/>
              <w:widowControl/>
              <w:suppressLineNumbers w:val="0"/>
              <w:jc w:val="center"/>
              <w:textAlignment w:val="center"/>
              <w:rPr>
                <w:rFonts w:hint="eastAsia" w:ascii="宋体" w:hAnsi="宋体" w:cs="宋体"/>
                <w:color w:val="000000"/>
                <w:sz w:val="20"/>
                <w:szCs w:val="20"/>
                <w:lang w:val="en-US" w:eastAsia="zh-CN"/>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2204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p>
        </w:tc>
        <w:tc>
          <w:tcPr>
            <w:tcW w:w="1812" w:type="dxa"/>
            <w:tcBorders>
              <w:top w:val="single" w:color="auto" w:sz="4" w:space="0"/>
              <w:left w:val="single" w:color="auto" w:sz="4" w:space="0"/>
              <w:bottom w:val="single" w:color="auto" w:sz="4" w:space="0"/>
              <w:right w:val="single" w:color="auto" w:sz="4" w:space="0"/>
              <w:tl2br w:val="nil"/>
              <w:tr2bl w:val="nil"/>
            </w:tcBorders>
            <w:noWrap/>
            <w:vAlign w:val="center"/>
          </w:tcPr>
          <w:p w14:paraId="738B9DD9">
            <w:pPr>
              <w:keepNext w:val="0"/>
              <w:keepLines w:val="0"/>
              <w:widowControl/>
              <w:suppressLineNumbers w:val="0"/>
              <w:jc w:val="center"/>
              <w:textAlignment w:val="center"/>
              <w:rPr>
                <w:rFonts w:hint="eastAsia" w:ascii="宋体" w:hAnsi="宋体" w:eastAsia="宋体" w:cs="宋体"/>
                <w:sz w:val="20"/>
                <w:szCs w:val="20"/>
              </w:rPr>
            </w:pPr>
          </w:p>
        </w:tc>
        <w:tc>
          <w:tcPr>
            <w:tcW w:w="1513" w:type="dxa"/>
            <w:tcBorders>
              <w:top w:val="single" w:color="auto" w:sz="4" w:space="0"/>
              <w:left w:val="single" w:color="auto" w:sz="4" w:space="0"/>
              <w:bottom w:val="single" w:color="auto" w:sz="4" w:space="0"/>
              <w:right w:val="single" w:color="auto" w:sz="4" w:space="0"/>
              <w:tl2br w:val="nil"/>
              <w:tr2bl w:val="nil"/>
            </w:tcBorders>
            <w:noWrap/>
            <w:vAlign w:val="center"/>
          </w:tcPr>
          <w:p w14:paraId="58BE2FDF">
            <w:pPr>
              <w:widowControl w:val="0"/>
              <w:spacing w:beforeLines="0" w:afterLines="0"/>
              <w:jc w:val="center"/>
              <w:rPr>
                <w:rFonts w:hint="eastAsia" w:ascii="宋体" w:hAnsi="宋体" w:eastAsia="宋体" w:cs="宋体"/>
                <w:color w:val="000000"/>
                <w:sz w:val="20"/>
                <w:szCs w:val="20"/>
              </w:rPr>
            </w:pPr>
          </w:p>
        </w:tc>
        <w:tc>
          <w:tcPr>
            <w:tcW w:w="1195" w:type="dxa"/>
            <w:tcBorders>
              <w:left w:val="single" w:color="auto" w:sz="4" w:space="0"/>
              <w:right w:val="single" w:color="auto" w:sz="4" w:space="0"/>
              <w:tl2br w:val="nil"/>
              <w:tr2bl w:val="nil"/>
            </w:tcBorders>
            <w:noWrap/>
            <w:vAlign w:val="top"/>
          </w:tcPr>
          <w:p w14:paraId="0E48C5BD">
            <w:pPr>
              <w:widowControl w:val="0"/>
              <w:spacing w:beforeLines="0" w:afterLines="0"/>
              <w:jc w:val="center"/>
              <w:rPr>
                <w:rFonts w:hint="eastAsia" w:ascii="宋体" w:hAnsi="宋体" w:eastAsia="宋体" w:cs="宋体"/>
                <w:color w:val="000000"/>
                <w:sz w:val="20"/>
                <w:szCs w:val="20"/>
              </w:rPr>
            </w:pPr>
          </w:p>
        </w:tc>
      </w:tr>
      <w:tr w14:paraId="5AD6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5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2804A5C">
            <w:pPr>
              <w:widowControl w:val="0"/>
              <w:spacing w:beforeLines="0" w:afterLines="0"/>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含税</w:t>
            </w: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67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492F51">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小写：                   </w:t>
            </w:r>
          </w:p>
          <w:p w14:paraId="5A128B7E">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大写：                   </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29137137">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③响应人报价为到达指定施工现场并将铣刨料运输离场的综合价格。</w:t>
      </w:r>
    </w:p>
    <w:p w14:paraId="4F75CD27">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lang w:val="en-US" w:eastAsia="zh-CN"/>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Theme="minorEastAsia" w:hAnsiTheme="minorEastAsia" w:eastAsiaTheme="minorEastAsia" w:cstheme="minorEastAsia"/>
          <w:sz w:val="24"/>
          <w:szCs w:val="24"/>
          <w:u w:val="none"/>
          <w:lang w:val="en-US" w:eastAsia="zh-CN"/>
        </w:rPr>
        <w:t>④本次报价不作为最终报价，选择人对所有报价评审之后，会要求响应人谈判并做出二次报价（如响应人不进行谈判，初次报价作为最终报价）。</w:t>
      </w:r>
    </w:p>
    <w:p w14:paraId="1DF681E2">
      <w:pPr>
        <w:pStyle w:val="4"/>
        <w:numPr>
          <w:ilvl w:val="0"/>
          <w:numId w:val="3"/>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9673"/>
      <w:bookmarkStart w:id="59"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w:t>
      </w:r>
      <w:r>
        <w:rPr>
          <w:rFonts w:hint="eastAsia" w:ascii="宋体" w:hAnsi="宋体" w:cs="宋体"/>
          <w:b/>
          <w:bCs w:val="0"/>
          <w:snapToGrid w:val="0"/>
          <w:kern w:val="0"/>
          <w:sz w:val="32"/>
          <w:szCs w:val="44"/>
          <w:u w:val="none"/>
          <w:lang w:val="en-US" w:eastAsia="zh-CN"/>
        </w:rPr>
        <w:t>高</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58"/>
      <w:bookmarkEnd w:id="59"/>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0" w:name="_Toc16686"/>
      <w:bookmarkStart w:id="61" w:name="_Toc13259"/>
      <w:r>
        <w:rPr>
          <w:rFonts w:hint="eastAsia" w:ascii="宋体" w:hAnsi="宋体" w:eastAsia="宋体" w:cs="宋体"/>
          <w:b/>
          <w:bCs/>
          <w:kern w:val="0"/>
          <w:sz w:val="24"/>
          <w:szCs w:val="24"/>
          <w:lang w:val="en-US" w:eastAsia="zh-CN"/>
        </w:rPr>
        <w:t>一、 基本原则：</w:t>
      </w:r>
      <w:bookmarkEnd w:id="60"/>
      <w:bookmarkEnd w:id="61"/>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2542"/>
      <w:bookmarkStart w:id="63" w:name="_Toc3427"/>
      <w:r>
        <w:rPr>
          <w:rFonts w:hint="eastAsia" w:ascii="宋体" w:hAnsi="宋体" w:eastAsia="宋体" w:cs="宋体"/>
          <w:b/>
          <w:bCs/>
          <w:kern w:val="0"/>
          <w:sz w:val="24"/>
          <w:szCs w:val="24"/>
          <w:lang w:val="en-US" w:eastAsia="zh-CN"/>
        </w:rPr>
        <w:t>二、评审程序：</w:t>
      </w:r>
      <w:bookmarkEnd w:id="62"/>
      <w:bookmarkEnd w:id="63"/>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4" w:name="_Toc4554"/>
      <w:bookmarkStart w:id="65"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4"/>
      <w:bookmarkEnd w:id="65"/>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w:t>
      </w:r>
      <w:r>
        <w:rPr>
          <w:rFonts w:hint="eastAsia" w:ascii="宋体" w:hAnsi="宋体" w:cs="宋体"/>
          <w:kern w:val="2"/>
          <w:sz w:val="24"/>
          <w:szCs w:val="24"/>
          <w:lang w:val="en-US" w:eastAsia="zh-CN"/>
        </w:rPr>
        <w:t>高</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6" w:name="_Toc97500983"/>
      <w:bookmarkStart w:id="67" w:name="_Toc18655"/>
      <w:bookmarkStart w:id="68" w:name="_Toc32664"/>
      <w:bookmarkStart w:id="69"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6"/>
      <w:bookmarkEnd w:id="67"/>
      <w:r>
        <w:rPr>
          <w:rFonts w:hint="eastAsia" w:ascii="宋体" w:hAnsi="宋体" w:eastAsia="宋体" w:cs="仿宋_GB2312"/>
          <w:b/>
          <w:bCs/>
          <w:color w:val="000000"/>
          <w:sz w:val="24"/>
          <w:lang w:val="en-US" w:eastAsia="zh-CN"/>
        </w:rPr>
        <w:t>中选单位</w:t>
      </w:r>
      <w:bookmarkEnd w:id="68"/>
      <w:bookmarkEnd w:id="69"/>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w:t>
      </w:r>
      <w:r>
        <w:rPr>
          <w:rFonts w:hint="eastAsia" w:ascii="宋体" w:hAnsi="宋体" w:cs="宋体"/>
          <w:kern w:val="0"/>
          <w:sz w:val="24"/>
          <w:szCs w:val="24"/>
          <w:lang w:val="en-US" w:eastAsia="zh-CN"/>
        </w:rPr>
        <w:t>高</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w:t>
      </w:r>
      <w:r>
        <w:rPr>
          <w:rFonts w:hint="eastAsia" w:ascii="宋体" w:hAnsi="宋体" w:cs="宋体"/>
          <w:sz w:val="24"/>
          <w:lang w:val="en-US" w:eastAsia="zh-CN"/>
        </w:rPr>
        <w:t>高</w:t>
      </w:r>
      <w:r>
        <w:rPr>
          <w:rFonts w:hint="eastAsia" w:ascii="宋体" w:hAnsi="宋体" w:eastAsia="宋体" w:cs="宋体"/>
          <w:sz w:val="24"/>
          <w:lang w:eastAsia="zh-CN"/>
        </w:rPr>
        <w:t>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0" w:name="_Toc29281"/>
      <w:bookmarkStart w:id="71" w:name="_Toc97500984"/>
    </w:p>
    <w:bookmarkEnd w:id="70"/>
    <w:bookmarkEnd w:id="71"/>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2" w:name="_Toc29015"/>
      <w:bookmarkStart w:id="73"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2"/>
      <w:bookmarkEnd w:id="73"/>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4" w:name="_Toc8158"/>
      <w:bookmarkStart w:id="75"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4"/>
      <w:bookmarkEnd w:id="75"/>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 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18AC2B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杭千高速公司2026年道路设施提升工程</w:t>
      </w:r>
    </w:p>
    <w:p w14:paraId="5FD6CE4F">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铣刨料回收响应文件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z w:val="32"/>
          <w:szCs w:val="32"/>
          <w:lang w:val="en-US" w:eastAsia="zh-CN"/>
        </w:rPr>
      </w:pPr>
      <w:r>
        <w:rPr>
          <w:rFonts w:hint="eastAsia" w:asciiTheme="minorEastAsia" w:hAnsiTheme="minorEastAsia" w:eastAsiaTheme="minorEastAsia" w:cstheme="minorEastAsia"/>
          <w:b/>
          <w:bCs/>
          <w:snapToGrid w:val="0"/>
          <w:color w:val="auto"/>
          <w:kern w:val="0"/>
          <w:sz w:val="32"/>
          <w:szCs w:val="32"/>
        </w:rPr>
        <w:t>在</w:t>
      </w:r>
      <w:r>
        <w:rPr>
          <w:rFonts w:hint="eastAsia" w:asciiTheme="minorEastAsia" w:hAnsiTheme="minorEastAsia" w:eastAsiaTheme="minorEastAsia" w:cstheme="minorEastAsia"/>
          <w:b/>
          <w:bCs/>
          <w:snapToGrid w:val="0"/>
          <w:color w:val="auto"/>
          <w:kern w:val="0"/>
          <w:sz w:val="32"/>
          <w:szCs w:val="32"/>
          <w:u w:val="single"/>
          <w:lang w:val="en-US" w:eastAsia="zh-CN"/>
        </w:rPr>
        <w:t>2026</w:t>
      </w:r>
      <w:r>
        <w:rPr>
          <w:rFonts w:hint="eastAsia" w:asciiTheme="minorEastAsia" w:hAnsiTheme="minorEastAsia" w:eastAsiaTheme="minorEastAsia" w:cstheme="minorEastAsia"/>
          <w:b/>
          <w:bCs/>
          <w:snapToGrid w:val="0"/>
          <w:color w:val="auto"/>
          <w:kern w:val="0"/>
          <w:sz w:val="32"/>
          <w:szCs w:val="32"/>
        </w:rPr>
        <w:t>年</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6 </w:t>
      </w:r>
      <w:r>
        <w:rPr>
          <w:rFonts w:hint="eastAsia" w:asciiTheme="minorEastAsia" w:hAnsiTheme="minorEastAsia" w:eastAsiaTheme="minorEastAsia" w:cstheme="minorEastAsia"/>
          <w:b/>
          <w:bCs/>
          <w:snapToGrid w:val="0"/>
          <w:color w:val="auto"/>
          <w:kern w:val="0"/>
          <w:sz w:val="32"/>
          <w:szCs w:val="32"/>
        </w:rPr>
        <w:t>月</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5 </w:t>
      </w:r>
      <w:r>
        <w:rPr>
          <w:rFonts w:hint="eastAsia" w:asciiTheme="minorEastAsia" w:hAnsiTheme="minorEastAsia" w:eastAsiaTheme="minorEastAsia" w:cstheme="minorEastAsia"/>
          <w:b/>
          <w:bCs/>
          <w:snapToGrid w:val="0"/>
          <w:color w:val="auto"/>
          <w:kern w:val="0"/>
          <w:sz w:val="32"/>
          <w:szCs w:val="32"/>
        </w:rPr>
        <w:t>日</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10 </w:t>
      </w:r>
      <w:r>
        <w:rPr>
          <w:rFonts w:hint="eastAsia" w:asciiTheme="minorEastAsia" w:hAnsiTheme="minorEastAsia" w:eastAsiaTheme="minorEastAsia" w:cstheme="minorEastAsia"/>
          <w:b/>
          <w:bCs/>
          <w:snapToGrid w:val="0"/>
          <w:color w:val="auto"/>
          <w:kern w:val="0"/>
          <w:sz w:val="32"/>
          <w:szCs w:val="32"/>
        </w:rPr>
        <w:t>时</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00 </w:t>
      </w:r>
      <w:r>
        <w:rPr>
          <w:rFonts w:hint="eastAsia" w:asciiTheme="minorEastAsia" w:hAnsiTheme="minorEastAsia" w:eastAsiaTheme="minorEastAsia" w:cstheme="minorEastAsia"/>
          <w:b/>
          <w:bCs/>
          <w:snapToGrid w:val="0"/>
          <w:color w:val="auto"/>
          <w:kern w:val="0"/>
          <w:sz w:val="32"/>
          <w:szCs w:val="32"/>
        </w:rPr>
        <w:t>分前不得开启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3ADC743">
      <w:pPr>
        <w:rPr>
          <w:rFonts w:hint="eastAsia"/>
          <w:lang w:val="en-US" w:eastAsia="zh-CN"/>
        </w:rPr>
      </w:pPr>
    </w:p>
    <w:p w14:paraId="3572AA48">
      <w:pPr>
        <w:pStyle w:val="2"/>
        <w:rPr>
          <w:rFonts w:hint="eastAsia"/>
          <w:lang w:val="en-US" w:eastAsia="zh-CN"/>
        </w:rPr>
      </w:pPr>
    </w:p>
    <w:p w14:paraId="7F2C5A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sz w:val="28"/>
          <w:szCs w:val="22"/>
          <w:u w:val="none"/>
          <w:lang w:val="en-US"/>
        </w:rPr>
      </w:pPr>
      <w:r>
        <w:rPr>
          <w:rFonts w:hint="eastAsia" w:asciiTheme="majorEastAsia" w:hAnsiTheme="majorEastAsia" w:eastAsiaTheme="majorEastAsia" w:cstheme="majorEastAsia"/>
          <w:b/>
          <w:bCs/>
          <w:snapToGrid/>
          <w:kern w:val="44"/>
          <w:sz w:val="44"/>
          <w:szCs w:val="44"/>
          <w:u w:val="none"/>
          <w:lang w:val="en-US" w:eastAsia="zh-CN"/>
        </w:rPr>
        <w:t>杭千高速公司2026年道路设施提升工程</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6" w:name="_Toc12326"/>
      <w:bookmarkStart w:id="77" w:name="_Toc28511"/>
      <w:r>
        <w:rPr>
          <w:rFonts w:hint="eastAsia" w:asciiTheme="majorEastAsia" w:hAnsiTheme="majorEastAsia" w:eastAsiaTheme="majorEastAsia" w:cstheme="majorEastAsia"/>
          <w:b/>
          <w:bCs/>
          <w:snapToGrid/>
          <w:kern w:val="44"/>
          <w:sz w:val="48"/>
          <w:szCs w:val="48"/>
          <w:u w:val="none"/>
          <w:lang w:val="en-US" w:eastAsia="zh-CN"/>
        </w:rPr>
        <w:t>铣刨料回收</w:t>
      </w:r>
      <w:r>
        <w:rPr>
          <w:rFonts w:hint="eastAsia" w:asciiTheme="majorEastAsia" w:hAnsiTheme="majorEastAsia" w:eastAsiaTheme="majorEastAsia" w:cstheme="majorEastAsia"/>
          <w:b/>
          <w:bCs/>
          <w:sz w:val="48"/>
          <w:szCs w:val="48"/>
          <w:lang w:val="en-US" w:eastAsia="zh-CN"/>
        </w:rPr>
        <w:t>响应文件</w:t>
      </w:r>
      <w:bookmarkEnd w:id="76"/>
      <w:bookmarkEnd w:id="77"/>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单位盖章）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64E159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78" w:name="_Toc28338"/>
      <w:bookmarkStart w:id="79"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78"/>
      <w:bookmarkEnd w:id="79"/>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杭千高速公司2026年道路设施提升工程铣刨料回收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0" w:name="_Toc31445"/>
      <w:bookmarkStart w:id="81" w:name="_Toc478761773"/>
      <w:bookmarkStart w:id="82" w:name="_Toc26994"/>
      <w:bookmarkStart w:id="83" w:name="_Toc4500"/>
      <w:r>
        <w:rPr>
          <w:rFonts w:hint="eastAsia" w:ascii="宋体" w:hAnsi="宋体" w:cs="宋体"/>
          <w:b/>
          <w:bCs/>
          <w:sz w:val="32"/>
          <w:szCs w:val="32"/>
        </w:rPr>
        <w:t>二、</w:t>
      </w:r>
      <w:bookmarkEnd w:id="80"/>
      <w:bookmarkEnd w:id="81"/>
      <w:r>
        <w:rPr>
          <w:rFonts w:hint="eastAsia" w:ascii="宋体" w:hAnsi="宋体" w:cs="宋体"/>
          <w:b/>
          <w:bCs/>
          <w:sz w:val="32"/>
          <w:szCs w:val="32"/>
        </w:rPr>
        <w:t>法定代表人身份证明或附有法定代表人身份证明</w:t>
      </w:r>
      <w:bookmarkEnd w:id="82"/>
      <w:bookmarkEnd w:id="83"/>
    </w:p>
    <w:p w14:paraId="04F8E2E0">
      <w:pPr>
        <w:spacing w:line="360" w:lineRule="auto"/>
        <w:jc w:val="center"/>
        <w:outlineLvl w:val="1"/>
        <w:rPr>
          <w:rFonts w:hint="eastAsia" w:ascii="宋体" w:hAnsi="宋体" w:cs="宋体"/>
          <w:b/>
          <w:bCs/>
          <w:sz w:val="32"/>
          <w:szCs w:val="32"/>
        </w:rPr>
      </w:pPr>
      <w:bookmarkStart w:id="84" w:name="_Toc29642"/>
      <w:bookmarkStart w:id="85" w:name="_Toc18254"/>
      <w:r>
        <w:rPr>
          <w:rFonts w:hint="eastAsia" w:ascii="宋体" w:hAnsi="宋体" w:cs="宋体"/>
          <w:b/>
          <w:bCs/>
          <w:sz w:val="32"/>
          <w:szCs w:val="32"/>
        </w:rPr>
        <w:t>的授权委托书</w:t>
      </w:r>
      <w:bookmarkEnd w:id="84"/>
      <w:bookmarkEnd w:id="85"/>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6" w:name="_Toc44"/>
      <w:bookmarkStart w:id="87"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6"/>
      <w:bookmarkEnd w:id="87"/>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杭千高速公司2026年道路设施提升工程</w:t>
      </w:r>
      <w:r>
        <w:rPr>
          <w:rFonts w:hint="eastAsia" w:ascii="宋体" w:hAnsi="宋体" w:cs="宋体"/>
          <w:szCs w:val="21"/>
          <w:u w:val="single"/>
        </w:rPr>
        <w:t xml:space="preserve">铣刨料回收 </w:t>
      </w:r>
      <w:r>
        <w:rPr>
          <w:rFonts w:hint="eastAsia" w:ascii="宋体" w:hAnsi="宋体" w:cs="宋体"/>
          <w:szCs w:val="21"/>
        </w:rPr>
        <w:t>（项目名称</w:t>
      </w:r>
      <w:r>
        <w:rPr>
          <w:rFonts w:hint="eastAsia" w:ascii="宋体" w:hAnsi="宋体" w:cs="宋体"/>
          <w:szCs w:val="21"/>
          <w:lang w:val="en-US" w:eastAsia="zh-CN"/>
        </w:rPr>
        <w:t>+选择内容</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88" w:name="_Toc30398"/>
      <w:bookmarkStart w:id="89" w:name="_Toc23859"/>
      <w:r>
        <w:rPr>
          <w:rFonts w:hint="eastAsia" w:ascii="宋体" w:hAnsi="宋体" w:cs="宋体"/>
          <w:b/>
          <w:bCs/>
          <w:sz w:val="32"/>
          <w:szCs w:val="32"/>
          <w:lang w:val="en-US" w:eastAsia="zh-CN"/>
        </w:rPr>
        <w:t>三、工程量清单报价表</w:t>
      </w:r>
      <w:bookmarkEnd w:id="88"/>
      <w:bookmarkEnd w:id="89"/>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0" w:name="_Toc32696"/>
      <w:bookmarkStart w:id="91"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0"/>
      <w:bookmarkEnd w:id="91"/>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2" w:name="_Toc25277"/>
      <w:bookmarkStart w:id="93" w:name="_Toc3897"/>
      <w:r>
        <w:rPr>
          <w:rFonts w:hint="eastAsia" w:ascii="宋体" w:hAnsi="宋体" w:cs="宋体"/>
          <w:b w:val="0"/>
          <w:bCs w:val="0"/>
          <w:sz w:val="24"/>
        </w:rPr>
        <w:t>1.本报价单应与选择</w:t>
      </w:r>
      <w:r>
        <w:rPr>
          <w:rFonts w:hint="eastAsia" w:ascii="宋体" w:hAnsi="宋体" w:cs="宋体"/>
          <w:b w:val="0"/>
          <w:bCs w:val="0"/>
          <w:sz w:val="24"/>
          <w:lang w:val="en-US" w:eastAsia="zh-CN"/>
        </w:rPr>
        <w:t>文件</w:t>
      </w:r>
      <w:r>
        <w:rPr>
          <w:rFonts w:hint="eastAsia" w:ascii="宋体" w:hAnsi="宋体" w:cs="宋体"/>
          <w:b w:val="0"/>
          <w:bCs w:val="0"/>
          <w:sz w:val="24"/>
        </w:rPr>
        <w:t>、</w:t>
      </w:r>
      <w:r>
        <w:rPr>
          <w:rFonts w:hint="eastAsia" w:ascii="宋体" w:hAnsi="宋体" w:cs="宋体"/>
          <w:b w:val="0"/>
          <w:bCs w:val="0"/>
          <w:sz w:val="24"/>
          <w:lang w:val="en-US" w:eastAsia="zh-CN"/>
        </w:rPr>
        <w:t>施工</w:t>
      </w:r>
      <w:r>
        <w:rPr>
          <w:rFonts w:hint="eastAsia" w:ascii="宋体" w:hAnsi="宋体" w:cs="宋体"/>
          <w:b w:val="0"/>
          <w:bCs w:val="0"/>
          <w:sz w:val="24"/>
        </w:rPr>
        <w:t>图纸等文件结合起来查阅与理解。</w:t>
      </w:r>
      <w:bookmarkEnd w:id="92"/>
      <w:bookmarkEnd w:id="93"/>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20945"/>
      <w:bookmarkStart w:id="95" w:name="_Toc20597"/>
      <w:r>
        <w:rPr>
          <w:rFonts w:hint="eastAsia" w:ascii="宋体" w:hAnsi="宋体" w:cs="宋体"/>
          <w:b w:val="0"/>
          <w:bCs w:val="0"/>
          <w:sz w:val="24"/>
        </w:rPr>
        <w:t>2.</w:t>
      </w:r>
      <w:r>
        <w:rPr>
          <w:rFonts w:hint="eastAsia" w:ascii="宋体" w:hAnsi="宋体" w:cs="宋体"/>
          <w:b w:val="0"/>
          <w:bCs w:val="0"/>
          <w:sz w:val="24"/>
          <w:lang w:val="en-US" w:eastAsia="zh-CN"/>
        </w:rPr>
        <w:t>响应</w:t>
      </w:r>
      <w:r>
        <w:rPr>
          <w:rFonts w:hint="eastAsia" w:ascii="宋体" w:hAnsi="宋体" w:cs="宋体"/>
          <w:b w:val="0"/>
          <w:bCs w:val="0"/>
          <w:sz w:val="24"/>
        </w:rPr>
        <w:t>人应根据自身的实际技术、管理、资金等能力填写报价单中的各项单价。</w:t>
      </w:r>
      <w:bookmarkEnd w:id="94"/>
      <w:bookmarkEnd w:id="95"/>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3115"/>
      <w:bookmarkStart w:id="97" w:name="_Toc26194"/>
      <w:r>
        <w:rPr>
          <w:rFonts w:hint="eastAsia" w:ascii="宋体" w:hAnsi="宋体" w:cs="宋体"/>
          <w:b w:val="0"/>
          <w:bCs w:val="0"/>
          <w:sz w:val="24"/>
          <w:lang w:val="en-US" w:eastAsia="zh-CN"/>
        </w:rPr>
        <w:t>3</w:t>
      </w:r>
      <w:r>
        <w:rPr>
          <w:rFonts w:hint="eastAsia" w:ascii="宋体" w:hAnsi="宋体" w:cs="宋体"/>
          <w:b w:val="0"/>
          <w:bCs w:val="0"/>
          <w:sz w:val="24"/>
        </w:rPr>
        <w:t>.工程量清单中的各项费用均以人民币（元）结算。</w:t>
      </w:r>
      <w:bookmarkEnd w:id="96"/>
      <w:bookmarkEnd w:id="97"/>
    </w:p>
    <w:p w14:paraId="078BB60A">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r>
        <w:rPr>
          <w:rFonts w:hint="eastAsia" w:ascii="宋体" w:hAnsi="宋体" w:cs="宋体"/>
          <w:b w:val="0"/>
          <w:bCs w:val="0"/>
          <w:sz w:val="24"/>
          <w:lang w:val="en-US" w:eastAsia="zh-CN"/>
        </w:rPr>
        <w:t>4</w:t>
      </w:r>
      <w:r>
        <w:rPr>
          <w:rFonts w:hint="eastAsia" w:ascii="宋体" w:hAnsi="宋体" w:cs="宋体"/>
          <w:b w:val="0"/>
          <w:bCs w:val="0"/>
          <w:sz w:val="24"/>
        </w:rPr>
        <w:t>.</w:t>
      </w:r>
      <w:r>
        <w:rPr>
          <w:rFonts w:hint="eastAsia" w:ascii="宋体" w:hAnsi="宋体" w:cs="宋体"/>
          <w:b w:val="0"/>
          <w:bCs w:val="0"/>
          <w:sz w:val="24"/>
          <w:lang w:val="en-US" w:eastAsia="zh-CN"/>
        </w:rPr>
        <w:t>响应</w:t>
      </w:r>
      <w:r>
        <w:rPr>
          <w:rFonts w:hint="eastAsia" w:ascii="宋体" w:hAnsi="宋体" w:cs="宋体"/>
          <w:b w:val="0"/>
          <w:bCs w:val="0"/>
          <w:sz w:val="24"/>
        </w:rPr>
        <w:t>文件中的大写金额和小写金额不一致的，以大写金额为准;总价金额与单价金额不一致的，以单价金额为准，但单价金额小数点有明显错误的除外。</w:t>
      </w:r>
    </w:p>
    <w:p w14:paraId="5F1FDEF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r>
        <w:rPr>
          <w:rFonts w:hint="eastAsia" w:ascii="宋体" w:hAnsi="宋体" w:cs="宋体"/>
          <w:b w:val="0"/>
          <w:bCs w:val="0"/>
          <w:sz w:val="24"/>
          <w:lang w:val="en-US" w:eastAsia="zh-CN"/>
        </w:rPr>
        <w:t>5.</w:t>
      </w:r>
      <w:r>
        <w:rPr>
          <w:rFonts w:hint="eastAsia" w:ascii="宋体" w:hAnsi="宋体" w:cs="宋体"/>
          <w:b w:val="0"/>
          <w:bCs w:val="0"/>
          <w:sz w:val="24"/>
        </w:rPr>
        <w:t>本次采购清单数量及施工</w:t>
      </w:r>
      <w:r>
        <w:rPr>
          <w:rFonts w:hint="eastAsia" w:ascii="宋体" w:hAnsi="宋体" w:cs="宋体"/>
          <w:b w:val="0"/>
          <w:bCs w:val="0"/>
          <w:sz w:val="24"/>
          <w:lang w:val="en-US" w:eastAsia="zh-CN"/>
        </w:rPr>
        <w:t>范围</w:t>
      </w:r>
      <w:r>
        <w:rPr>
          <w:rFonts w:hint="eastAsia" w:ascii="宋体" w:hAnsi="宋体" w:cs="宋体"/>
          <w:b w:val="0"/>
          <w:bCs w:val="0"/>
          <w:sz w:val="24"/>
        </w:rPr>
        <w:t>为暂定，中选单位进场后，</w:t>
      </w:r>
      <w:r>
        <w:rPr>
          <w:rFonts w:hint="eastAsia" w:ascii="宋体" w:hAnsi="宋体" w:cs="宋体"/>
          <w:b w:val="0"/>
          <w:bCs w:val="0"/>
          <w:sz w:val="24"/>
          <w:lang w:val="en-US" w:eastAsia="zh-CN"/>
        </w:rPr>
        <w:t>选择</w:t>
      </w:r>
      <w:r>
        <w:rPr>
          <w:rFonts w:hint="eastAsia" w:ascii="宋体" w:hAnsi="宋体" w:cs="宋体"/>
          <w:b w:val="0"/>
          <w:bCs w:val="0"/>
          <w:sz w:val="24"/>
        </w:rPr>
        <w:t>人有权根据现场实际施工进度、施工管理水平、现场环境因素及业主或公司的要求重新调整施工范围，中选单位必须无条件服从，同时不降低其相关义务。</w:t>
      </w:r>
    </w:p>
    <w:p w14:paraId="1A5D4E2F">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default" w:ascii="宋体" w:hAnsi="宋体" w:cs="宋体"/>
          <w:b w:val="0"/>
          <w:bCs w:val="0"/>
          <w:sz w:val="24"/>
          <w:lang w:val="en-US" w:eastAsia="zh-CN"/>
        </w:rPr>
      </w:pPr>
      <w:r>
        <w:rPr>
          <w:rFonts w:hint="eastAsia" w:ascii="宋体" w:hAnsi="宋体" w:cs="宋体"/>
          <w:b w:val="0"/>
          <w:bCs w:val="0"/>
          <w:sz w:val="24"/>
          <w:lang w:val="en-US" w:eastAsia="zh-CN"/>
        </w:rPr>
        <w:t>6.响应人报价为到达指定施工现场并将铣刨料运输离场的综合价格。包括但不限于驾驶员工资、驾驶员保险、车辆保险、燃油费、道路通行费等一切相关费用。</w:t>
      </w:r>
    </w:p>
    <w:p w14:paraId="16F84B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宋体" w:hAnsi="宋体" w:cs="宋体"/>
          <w:b w:val="0"/>
          <w:bCs w:val="0"/>
          <w:sz w:val="24"/>
          <w:lang w:val="en-US" w:eastAsia="zh-CN"/>
        </w:rPr>
        <w:t>7.本次报价不作为最终报价，选择人对所有报价评审之后，会要求响应人谈判并做出二次报价（如响应人不进行谈判，初次报价作为最终报价）。</w:t>
      </w: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98" w:name="_Toc5263"/>
      <w:bookmarkStart w:id="99" w:name="_Toc14842"/>
      <w:r>
        <w:rPr>
          <w:rFonts w:hint="eastAsia" w:ascii="宋体" w:hAnsi="宋体" w:cs="宋体"/>
          <w:b/>
          <w:bCs/>
          <w:sz w:val="28"/>
          <w:szCs w:val="28"/>
          <w:lang w:val="en-US" w:eastAsia="zh-CN"/>
        </w:rPr>
        <w:t>（2）报价单</w:t>
      </w:r>
      <w:bookmarkEnd w:id="98"/>
      <w:bookmarkEnd w:id="9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杭千高速公司2026年道路设施提升工程铣刨料回收 </w:t>
      </w:r>
      <w:r>
        <w:rPr>
          <w:rFonts w:hint="eastAsia" w:ascii="宋体" w:hAnsi="宋体" w:eastAsia="宋体" w:cs="宋体"/>
          <w:b w:val="0"/>
          <w:bCs w:val="0"/>
          <w:sz w:val="24"/>
          <w:szCs w:val="24"/>
          <w:u w:val="single"/>
          <w:lang w:val="en-US" w:eastAsia="zh-CN"/>
        </w:rPr>
        <w:t xml:space="preserve">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25"/>
        <w:gridCol w:w="963"/>
        <w:gridCol w:w="1150"/>
        <w:gridCol w:w="1587"/>
        <w:gridCol w:w="1738"/>
        <w:gridCol w:w="1195"/>
      </w:tblGrid>
      <w:tr w14:paraId="61DB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ign w:val="center"/>
          </w:tcPr>
          <w:p w14:paraId="2D22E10C">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2A84A">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子目明细</w:t>
            </w:r>
          </w:p>
        </w:tc>
        <w:tc>
          <w:tcPr>
            <w:tcW w:w="963" w:type="dxa"/>
            <w:tcBorders>
              <w:top w:val="single" w:color="auto" w:sz="4" w:space="0"/>
              <w:left w:val="single" w:color="auto" w:sz="4" w:space="0"/>
              <w:bottom w:val="single" w:color="auto" w:sz="4" w:space="0"/>
              <w:right w:val="single" w:color="auto" w:sz="4" w:space="0"/>
              <w:tl2br w:val="nil"/>
              <w:tr2bl w:val="nil"/>
            </w:tcBorders>
            <w:noWrap/>
            <w:vAlign w:val="center"/>
          </w:tcPr>
          <w:p w14:paraId="5ACAF9F9">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150" w:type="dxa"/>
            <w:tcBorders>
              <w:top w:val="single" w:color="auto" w:sz="4" w:space="0"/>
              <w:left w:val="single" w:color="auto" w:sz="4" w:space="0"/>
              <w:bottom w:val="single" w:color="auto" w:sz="4" w:space="0"/>
              <w:right w:val="single" w:color="auto" w:sz="4" w:space="0"/>
              <w:tl2br w:val="nil"/>
              <w:tr2bl w:val="nil"/>
            </w:tcBorders>
            <w:noWrap/>
            <w:vAlign w:val="center"/>
          </w:tcPr>
          <w:p w14:paraId="15171086">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暂估</w:t>
            </w:r>
            <w:r>
              <w:rPr>
                <w:rFonts w:hint="eastAsia" w:ascii="宋体" w:hAnsi="宋体" w:eastAsia="宋体" w:cs="宋体"/>
                <w:sz w:val="20"/>
                <w:szCs w:val="20"/>
              </w:rPr>
              <w:t>数量</w:t>
            </w:r>
          </w:p>
        </w:tc>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1378F409">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738" w:type="dxa"/>
            <w:tcBorders>
              <w:top w:val="single" w:color="auto" w:sz="4" w:space="0"/>
              <w:left w:val="single" w:color="auto" w:sz="4" w:space="0"/>
              <w:bottom w:val="single" w:color="auto" w:sz="4" w:space="0"/>
              <w:right w:val="single" w:color="auto" w:sz="4" w:space="0"/>
              <w:tl2br w:val="nil"/>
              <w:tr2bl w:val="nil"/>
            </w:tcBorders>
            <w:noWrap/>
            <w:vAlign w:val="center"/>
          </w:tcPr>
          <w:p w14:paraId="732CAB3E">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金额</w:t>
            </w:r>
            <w:r>
              <w:rPr>
                <w:rFonts w:hint="eastAsia" w:ascii="宋体" w:hAnsi="宋体" w:cs="宋体"/>
                <w:color w:val="000000"/>
                <w:sz w:val="20"/>
                <w:szCs w:val="20"/>
                <w:lang w:val="en-US" w:eastAsia="zh-CN"/>
              </w:rPr>
              <w:t>=</w:t>
            </w:r>
            <w:r>
              <w:rPr>
                <w:rFonts w:hint="eastAsia" w:ascii="宋体" w:hAnsi="宋体" w:cs="宋体"/>
                <w:sz w:val="20"/>
                <w:szCs w:val="20"/>
                <w:lang w:val="en-US" w:eastAsia="zh-CN"/>
              </w:rPr>
              <w:t>暂估</w:t>
            </w:r>
            <w:r>
              <w:rPr>
                <w:rFonts w:hint="eastAsia" w:ascii="宋体" w:hAnsi="宋体" w:eastAsia="宋体" w:cs="宋体"/>
                <w:sz w:val="20"/>
                <w:szCs w:val="20"/>
              </w:rPr>
              <w:t>数量</w:t>
            </w:r>
            <w:r>
              <w:rPr>
                <w:rFonts w:hint="eastAsia" w:ascii="宋体" w:hAnsi="宋体" w:cs="宋体"/>
                <w:sz w:val="20"/>
                <w:szCs w:val="20"/>
                <w:lang w:val="en-US" w:eastAsia="zh-CN"/>
              </w:rPr>
              <w:t>*含税</w:t>
            </w:r>
            <w:r>
              <w:rPr>
                <w:rFonts w:hint="eastAsia" w:ascii="宋体" w:hAnsi="宋体" w:eastAsia="宋体" w:cs="宋体"/>
                <w:sz w:val="20"/>
                <w:szCs w:val="20"/>
              </w:rPr>
              <w:t>单价</w:t>
            </w:r>
          </w:p>
        </w:tc>
        <w:tc>
          <w:tcPr>
            <w:tcW w:w="1195" w:type="dxa"/>
            <w:tcBorders>
              <w:top w:val="single" w:color="auto" w:sz="4" w:space="0"/>
              <w:left w:val="single" w:color="auto" w:sz="4" w:space="0"/>
              <w:bottom w:val="single" w:color="auto" w:sz="4" w:space="0"/>
              <w:right w:val="single" w:color="auto" w:sz="4" w:space="0"/>
              <w:tl2br w:val="nil"/>
              <w:tr2bl w:val="nil"/>
            </w:tcBorders>
            <w:noWrap/>
            <w:vAlign w:val="center"/>
          </w:tcPr>
          <w:p w14:paraId="3640FBB5">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备注</w:t>
            </w:r>
          </w:p>
        </w:tc>
      </w:tr>
      <w:tr w14:paraId="2094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ign w:val="center"/>
          </w:tcPr>
          <w:p w14:paraId="08AF5E1B">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A21EAB">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沥青铣刨料</w:t>
            </w: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E16EA">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吨</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BBBF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48000</w:t>
            </w:r>
          </w:p>
        </w:tc>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44E7089C">
            <w:pPr>
              <w:keepNext w:val="0"/>
              <w:keepLines w:val="0"/>
              <w:widowControl/>
              <w:suppressLineNumbers w:val="0"/>
              <w:jc w:val="center"/>
              <w:textAlignment w:val="center"/>
              <w:rPr>
                <w:rFonts w:hint="eastAsia" w:ascii="宋体" w:hAnsi="宋体" w:eastAsia="宋体" w:cs="宋体"/>
                <w:sz w:val="20"/>
                <w:szCs w:val="20"/>
              </w:rPr>
            </w:pPr>
          </w:p>
        </w:tc>
        <w:tc>
          <w:tcPr>
            <w:tcW w:w="1738" w:type="dxa"/>
            <w:tcBorders>
              <w:top w:val="single" w:color="auto" w:sz="4" w:space="0"/>
              <w:left w:val="single" w:color="auto" w:sz="4" w:space="0"/>
              <w:bottom w:val="single" w:color="auto" w:sz="4" w:space="0"/>
              <w:right w:val="single" w:color="auto" w:sz="4" w:space="0"/>
              <w:tl2br w:val="nil"/>
              <w:tr2bl w:val="nil"/>
            </w:tcBorders>
            <w:noWrap/>
            <w:vAlign w:val="center"/>
          </w:tcPr>
          <w:p w14:paraId="648EA6E8">
            <w:pPr>
              <w:widowControl w:val="0"/>
              <w:spacing w:beforeLines="0" w:afterLines="0"/>
              <w:jc w:val="center"/>
              <w:rPr>
                <w:rFonts w:hint="eastAsia" w:ascii="宋体" w:hAnsi="宋体" w:eastAsia="宋体" w:cs="宋体"/>
                <w:color w:val="000000"/>
                <w:sz w:val="20"/>
                <w:szCs w:val="20"/>
              </w:rPr>
            </w:pPr>
          </w:p>
        </w:tc>
        <w:tc>
          <w:tcPr>
            <w:tcW w:w="1195" w:type="dxa"/>
            <w:tcBorders>
              <w:top w:val="single" w:color="auto" w:sz="4" w:space="0"/>
              <w:left w:val="single" w:color="auto" w:sz="4" w:space="0"/>
              <w:right w:val="single" w:color="auto" w:sz="4" w:space="0"/>
              <w:tl2br w:val="nil"/>
              <w:tr2bl w:val="nil"/>
            </w:tcBorders>
            <w:noWrap/>
            <w:vAlign w:val="center"/>
          </w:tcPr>
          <w:p w14:paraId="04E6A31B">
            <w:pPr>
              <w:widowControl w:val="0"/>
              <w:spacing w:beforeLines="0" w:afterLines="0"/>
              <w:jc w:val="center"/>
              <w:rPr>
                <w:rFonts w:hint="eastAsia" w:ascii="宋体" w:hAnsi="宋体" w:eastAsia="宋体" w:cs="宋体"/>
                <w:color w:val="000000"/>
                <w:sz w:val="20"/>
                <w:szCs w:val="20"/>
              </w:rPr>
            </w:pPr>
          </w:p>
        </w:tc>
      </w:tr>
      <w:tr w14:paraId="6402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2" w:type="dxa"/>
            <w:tcBorders>
              <w:top w:val="single" w:color="auto" w:sz="4" w:space="0"/>
              <w:left w:val="single" w:color="auto" w:sz="4" w:space="0"/>
              <w:bottom w:val="single" w:color="auto" w:sz="4" w:space="0"/>
              <w:right w:val="single" w:color="auto" w:sz="4" w:space="0"/>
              <w:tl2br w:val="nil"/>
              <w:tr2bl w:val="nil"/>
            </w:tcBorders>
            <w:noWrap/>
            <w:vAlign w:val="center"/>
          </w:tcPr>
          <w:p w14:paraId="0A776AF0">
            <w:pPr>
              <w:widowControl w:val="0"/>
              <w:spacing w:beforeLines="0" w:afterLines="0"/>
              <w:jc w:val="center"/>
              <w:rPr>
                <w:rFonts w:hint="default" w:ascii="宋体" w:hAnsi="宋体" w:eastAsia="宋体" w:cs="宋体"/>
                <w:color w:val="000000"/>
                <w:sz w:val="20"/>
                <w:szCs w:val="20"/>
                <w:lang w:val="en-US" w:eastAsia="zh-CN"/>
              </w:rPr>
            </w:pP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A26F3">
            <w:pPr>
              <w:widowControl w:val="0"/>
              <w:spacing w:beforeLines="0" w:afterLines="0"/>
              <w:jc w:val="center"/>
              <w:rPr>
                <w:rFonts w:hint="default" w:ascii="宋体" w:hAnsi="宋体" w:eastAsia="宋体" w:cs="宋体"/>
                <w:color w:val="000000"/>
                <w:sz w:val="20"/>
                <w:szCs w:val="20"/>
                <w:lang w:val="en-US" w:eastAsia="zh-CN"/>
              </w:rPr>
            </w:pPr>
          </w:p>
        </w:tc>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D9B42">
            <w:pPr>
              <w:keepNext w:val="0"/>
              <w:keepLines w:val="0"/>
              <w:widowControl/>
              <w:suppressLineNumbers w:val="0"/>
              <w:jc w:val="center"/>
              <w:textAlignment w:val="center"/>
              <w:rPr>
                <w:rFonts w:hint="eastAsia" w:ascii="宋体" w:hAnsi="宋体" w:cs="宋体"/>
                <w:color w:val="000000"/>
                <w:sz w:val="20"/>
                <w:szCs w:val="20"/>
                <w:lang w:val="en-US" w:eastAsia="zh-CN"/>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25EC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p>
        </w:tc>
        <w:tc>
          <w:tcPr>
            <w:tcW w:w="1587" w:type="dxa"/>
            <w:tcBorders>
              <w:top w:val="single" w:color="auto" w:sz="4" w:space="0"/>
              <w:left w:val="single" w:color="auto" w:sz="4" w:space="0"/>
              <w:bottom w:val="single" w:color="auto" w:sz="4" w:space="0"/>
              <w:right w:val="single" w:color="auto" w:sz="4" w:space="0"/>
              <w:tl2br w:val="nil"/>
              <w:tr2bl w:val="nil"/>
            </w:tcBorders>
            <w:noWrap/>
            <w:vAlign w:val="center"/>
          </w:tcPr>
          <w:p w14:paraId="5CD0750C">
            <w:pPr>
              <w:keepNext w:val="0"/>
              <w:keepLines w:val="0"/>
              <w:widowControl/>
              <w:suppressLineNumbers w:val="0"/>
              <w:jc w:val="center"/>
              <w:textAlignment w:val="center"/>
              <w:rPr>
                <w:rFonts w:hint="eastAsia" w:ascii="宋体" w:hAnsi="宋体" w:eastAsia="宋体" w:cs="宋体"/>
                <w:sz w:val="20"/>
                <w:szCs w:val="20"/>
              </w:rPr>
            </w:pPr>
          </w:p>
        </w:tc>
        <w:tc>
          <w:tcPr>
            <w:tcW w:w="1738" w:type="dxa"/>
            <w:tcBorders>
              <w:top w:val="single" w:color="auto" w:sz="4" w:space="0"/>
              <w:left w:val="single" w:color="auto" w:sz="4" w:space="0"/>
              <w:bottom w:val="single" w:color="auto" w:sz="4" w:space="0"/>
              <w:right w:val="single" w:color="auto" w:sz="4" w:space="0"/>
              <w:tl2br w:val="nil"/>
              <w:tr2bl w:val="nil"/>
            </w:tcBorders>
            <w:noWrap/>
            <w:vAlign w:val="center"/>
          </w:tcPr>
          <w:p w14:paraId="695BECCF">
            <w:pPr>
              <w:widowControl w:val="0"/>
              <w:spacing w:beforeLines="0" w:afterLines="0"/>
              <w:jc w:val="center"/>
              <w:rPr>
                <w:rFonts w:hint="eastAsia" w:ascii="宋体" w:hAnsi="宋体" w:eastAsia="宋体" w:cs="宋体"/>
                <w:color w:val="000000"/>
                <w:sz w:val="20"/>
                <w:szCs w:val="20"/>
              </w:rPr>
            </w:pPr>
          </w:p>
        </w:tc>
        <w:tc>
          <w:tcPr>
            <w:tcW w:w="1195" w:type="dxa"/>
            <w:tcBorders>
              <w:left w:val="single" w:color="auto" w:sz="4" w:space="0"/>
              <w:right w:val="single" w:color="auto" w:sz="4" w:space="0"/>
              <w:tl2br w:val="nil"/>
              <w:tr2bl w:val="nil"/>
            </w:tcBorders>
            <w:noWrap/>
            <w:vAlign w:val="top"/>
          </w:tcPr>
          <w:p w14:paraId="17BA9B27">
            <w:pPr>
              <w:widowControl w:val="0"/>
              <w:spacing w:beforeLines="0" w:afterLines="0"/>
              <w:jc w:val="center"/>
              <w:rPr>
                <w:rFonts w:hint="eastAsia" w:ascii="宋体" w:hAnsi="宋体" w:eastAsia="宋体" w:cs="宋体"/>
                <w:color w:val="000000"/>
                <w:sz w:val="20"/>
                <w:szCs w:val="20"/>
              </w:rPr>
            </w:pPr>
          </w:p>
        </w:tc>
      </w:tr>
      <w:tr w14:paraId="0A7E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45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86613E3">
            <w:pPr>
              <w:widowControl w:val="0"/>
              <w:spacing w:beforeLines="0" w:afterLines="0"/>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含税</w:t>
            </w: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67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206A06">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小写：                   </w:t>
            </w:r>
          </w:p>
          <w:p w14:paraId="4E1C8D9C">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大写：                   </w:t>
            </w:r>
          </w:p>
        </w:tc>
      </w:tr>
    </w:tbl>
    <w:p w14:paraId="60453A77">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p>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default"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选择人提供的发票种类及税率为：增值税专用发票，税率13%</w:t>
      </w:r>
      <w:r>
        <w:rPr>
          <w:rFonts w:hint="eastAsia" w:ascii="宋体" w:hAnsi="宋体" w:cs="宋体"/>
          <w:sz w:val="21"/>
          <w:szCs w:val="21"/>
          <w:lang w:val="en-US" w:eastAsia="zh-CN"/>
        </w:rPr>
        <w:t>。</w:t>
      </w:r>
    </w:p>
    <w:p w14:paraId="137D5AD0">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4"/>
        </w:numPr>
        <w:spacing w:line="360" w:lineRule="auto"/>
        <w:ind w:firstLine="643"/>
        <w:jc w:val="center"/>
        <w:outlineLvl w:val="1"/>
        <w:rPr>
          <w:rFonts w:hint="eastAsia" w:ascii="宋体" w:hAnsi="宋体" w:eastAsia="宋体" w:cs="宋体"/>
          <w:b/>
          <w:bCs/>
          <w:sz w:val="32"/>
          <w:szCs w:val="32"/>
        </w:rPr>
      </w:pPr>
      <w:bookmarkStart w:id="100" w:name="_Toc14867_WPSOffice_Level1"/>
      <w:bookmarkStart w:id="101" w:name="_Toc27899"/>
      <w:bookmarkStart w:id="102" w:name="_Toc468"/>
      <w:bookmarkStart w:id="103" w:name="_Toc501460793"/>
      <w:bookmarkStart w:id="104" w:name="_Toc11325"/>
      <w:r>
        <w:rPr>
          <w:rFonts w:hint="eastAsia" w:ascii="宋体" w:hAnsi="宋体" w:eastAsia="宋体" w:cs="宋体"/>
          <w:b/>
          <w:bCs/>
          <w:sz w:val="32"/>
          <w:szCs w:val="32"/>
        </w:rPr>
        <w:t>资格审查资料</w:t>
      </w:r>
      <w:bookmarkEnd w:id="100"/>
      <w:bookmarkEnd w:id="101"/>
      <w:bookmarkEnd w:id="102"/>
      <w:bookmarkEnd w:id="103"/>
      <w:bookmarkEnd w:id="10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05" w:name="_Toc18014"/>
      <w:bookmarkStart w:id="106" w:name="_Toc22480"/>
      <w:bookmarkStart w:id="107" w:name="_Toc501460794"/>
      <w:bookmarkStart w:id="108"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05"/>
      <w:bookmarkEnd w:id="106"/>
      <w:bookmarkEnd w:id="107"/>
      <w:bookmarkEnd w:id="10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09" w:name="_Toc31342"/>
      <w:bookmarkStart w:id="11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09"/>
      <w:bookmarkEnd w:id="11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1.企业法人营业执照的复印件（并加盖单位章）</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2.企业道路运输许可证（并加盖单位章）</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11" w:name="_Toc24871"/>
      <w:bookmarkStart w:id="112" w:name="_Toc27392"/>
      <w:r>
        <w:rPr>
          <w:rFonts w:hint="eastAsia" w:ascii="仿宋" w:hAnsi="仿宋" w:eastAsia="仿宋" w:cs="仿宋"/>
          <w:kern w:val="2"/>
          <w:sz w:val="28"/>
          <w:szCs w:val="28"/>
          <w:lang w:val="en-US" w:eastAsia="zh-CN" w:bidi="ar-SA"/>
        </w:rPr>
        <w:t>3.基本账户开户许可证的复印件（并加盖单位章）</w:t>
      </w:r>
      <w:bookmarkEnd w:id="111"/>
      <w:bookmarkEnd w:id="112"/>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13" w:name="_Toc30396"/>
      <w:bookmarkStart w:id="114"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13"/>
      <w:bookmarkEnd w:id="11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15" w:name="_Toc23087"/>
      <w:bookmarkStart w:id="116" w:name="_Toc18208"/>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15"/>
      <w:bookmarkEnd w:id="11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2296"/>
        <w:gridCol w:w="1289"/>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2296"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身份证号</w:t>
            </w:r>
          </w:p>
        </w:tc>
        <w:tc>
          <w:tcPr>
            <w:tcW w:w="1289"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2296"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289"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现场负责人</w:t>
            </w:r>
          </w:p>
        </w:tc>
        <w:tc>
          <w:tcPr>
            <w:tcW w:w="2296"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289"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驾驶员</w:t>
            </w:r>
          </w:p>
        </w:tc>
        <w:tc>
          <w:tcPr>
            <w:tcW w:w="2296"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289"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驾驶员</w:t>
            </w:r>
          </w:p>
        </w:tc>
        <w:tc>
          <w:tcPr>
            <w:tcW w:w="2296"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驾驶员</w:t>
            </w:r>
          </w:p>
        </w:tc>
        <w:tc>
          <w:tcPr>
            <w:tcW w:w="2296"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驾驶员</w:t>
            </w:r>
          </w:p>
        </w:tc>
        <w:tc>
          <w:tcPr>
            <w:tcW w:w="2296"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驾驶员</w:t>
            </w:r>
          </w:p>
        </w:tc>
        <w:tc>
          <w:tcPr>
            <w:tcW w:w="2296"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2296"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2296"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2296"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2296"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289"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拟在本标段工程担任职务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79DEBA4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p w14:paraId="288A3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none"/>
              </w:rPr>
              <w:t>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毕业证书</w:t>
      </w:r>
      <w:r>
        <w:rPr>
          <w:rFonts w:hint="eastAsia" w:ascii="仿宋" w:hAnsi="仿宋" w:eastAsia="仿宋" w:cs="仿宋"/>
          <w:color w:val="auto"/>
          <w:sz w:val="24"/>
          <w:szCs w:val="24"/>
          <w:highlight w:val="none"/>
        </w:rPr>
        <w:t>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cs="宋体"/>
          <w:kern w:val="2"/>
          <w:sz w:val="21"/>
          <w:szCs w:val="21"/>
          <w:lang w:val="en-US" w:eastAsia="zh-CN" w:bidi="ar-SA"/>
        </w:rPr>
        <w:t>现场负责人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val="en-US" w:eastAsia="zh-CN"/>
              </w:rPr>
              <w:t>现场负责人</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驾驶员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val="en-US" w:eastAsia="zh-CN"/>
              </w:rPr>
              <w:t>驾驶员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③驾驶员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val="en-US" w:eastAsia="zh-CN"/>
              </w:rPr>
              <w:t>驾驶员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17" w:name="_Toc1485"/>
      <w:bookmarkStart w:id="118" w:name="_Toc597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17"/>
      <w:bookmarkEnd w:id="118"/>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116"/>
        <w:gridCol w:w="1116"/>
        <w:gridCol w:w="1977"/>
        <w:gridCol w:w="2265"/>
        <w:gridCol w:w="1977"/>
      </w:tblGrid>
      <w:tr w14:paraId="55BB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1C09931D">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601" w:type="pct"/>
            <w:vAlign w:val="center"/>
          </w:tcPr>
          <w:p w14:paraId="7BF94531">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车牌号</w:t>
            </w:r>
          </w:p>
        </w:tc>
        <w:tc>
          <w:tcPr>
            <w:tcW w:w="601" w:type="pct"/>
            <w:vAlign w:val="center"/>
          </w:tcPr>
          <w:p w14:paraId="1A93E439">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驾驶员</w:t>
            </w:r>
          </w:p>
        </w:tc>
        <w:tc>
          <w:tcPr>
            <w:tcW w:w="1064" w:type="pct"/>
            <w:vAlign w:val="center"/>
          </w:tcPr>
          <w:p w14:paraId="00C65F9F">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车辆出厂年份</w:t>
            </w:r>
          </w:p>
        </w:tc>
        <w:tc>
          <w:tcPr>
            <w:tcW w:w="1219" w:type="pct"/>
            <w:vAlign w:val="center"/>
          </w:tcPr>
          <w:p w14:paraId="26F9EFA6">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自有/租赁/新购</w:t>
            </w:r>
          </w:p>
        </w:tc>
        <w:tc>
          <w:tcPr>
            <w:tcW w:w="1064" w:type="pct"/>
            <w:vAlign w:val="center"/>
          </w:tcPr>
          <w:p w14:paraId="1B4BB7F5">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预计进场时间</w:t>
            </w:r>
          </w:p>
        </w:tc>
      </w:tr>
      <w:tr w14:paraId="0C4A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3ED5E78B">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601" w:type="pct"/>
            <w:vAlign w:val="center"/>
          </w:tcPr>
          <w:p w14:paraId="5A6860C0">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27785A23">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5B0ED3B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633C427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5C48B02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0DF1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33427F2E">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601" w:type="pct"/>
            <w:vAlign w:val="center"/>
          </w:tcPr>
          <w:p w14:paraId="10E36E5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2FAACA83">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21587A60">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36A9994C">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3FF26AEC">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0D3C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0F93C6CD">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601" w:type="pct"/>
            <w:vAlign w:val="center"/>
          </w:tcPr>
          <w:p w14:paraId="189A74A6">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00D1479B">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DEE2AC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6E34D9A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2609AB3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5ACF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1EF5DC8A">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601" w:type="pct"/>
            <w:vAlign w:val="center"/>
          </w:tcPr>
          <w:p w14:paraId="6D85AAD3">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4C276513">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96D84E3">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4A2D5016">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66134C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2AB9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4BAD7848">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601" w:type="pct"/>
            <w:vAlign w:val="center"/>
          </w:tcPr>
          <w:p w14:paraId="113D289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267F506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314229CB">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4038A51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67076D8A">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5A65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59B07985">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p>
        </w:tc>
        <w:tc>
          <w:tcPr>
            <w:tcW w:w="601" w:type="pct"/>
            <w:vAlign w:val="center"/>
          </w:tcPr>
          <w:p w14:paraId="0FC6001E">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1A7752E5">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2C5E340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71E729B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7E38DA8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5869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03FF493F">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w:t>
            </w:r>
          </w:p>
        </w:tc>
        <w:tc>
          <w:tcPr>
            <w:tcW w:w="601" w:type="pct"/>
            <w:vAlign w:val="center"/>
          </w:tcPr>
          <w:p w14:paraId="2312DCD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05E6F0B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6EF9ECC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1649BA0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6DF229A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5AA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378746B8">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w:t>
            </w:r>
          </w:p>
        </w:tc>
        <w:tc>
          <w:tcPr>
            <w:tcW w:w="601" w:type="pct"/>
            <w:vAlign w:val="center"/>
          </w:tcPr>
          <w:p w14:paraId="79A5E290">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258F1B4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7F58EA8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39A513B4">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7FD8D354">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7E32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37092DC3">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9</w:t>
            </w:r>
          </w:p>
        </w:tc>
        <w:tc>
          <w:tcPr>
            <w:tcW w:w="601" w:type="pct"/>
            <w:vAlign w:val="center"/>
          </w:tcPr>
          <w:p w14:paraId="49ADB002">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2CA647C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78038D05">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5F70F9B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339E7C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485E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3C735179">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10</w:t>
            </w:r>
          </w:p>
        </w:tc>
        <w:tc>
          <w:tcPr>
            <w:tcW w:w="601" w:type="pct"/>
            <w:vAlign w:val="center"/>
          </w:tcPr>
          <w:p w14:paraId="0D711187">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7F7D0CD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320E5AB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30EDFF5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2562C0F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0CCA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0DCACC78">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11</w:t>
            </w:r>
          </w:p>
        </w:tc>
        <w:tc>
          <w:tcPr>
            <w:tcW w:w="601" w:type="pct"/>
            <w:vAlign w:val="center"/>
          </w:tcPr>
          <w:p w14:paraId="667E6CE8">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0F09145A">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AE0146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43DEB758">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37D8D90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7F79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75E7C1C1">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12</w:t>
            </w:r>
          </w:p>
        </w:tc>
        <w:tc>
          <w:tcPr>
            <w:tcW w:w="601" w:type="pct"/>
            <w:vAlign w:val="center"/>
          </w:tcPr>
          <w:p w14:paraId="2786E8C1">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373C85DC">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1F00F44">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10A4C2D2">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723E6C93">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4F90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372DD890">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13</w:t>
            </w:r>
          </w:p>
        </w:tc>
        <w:tc>
          <w:tcPr>
            <w:tcW w:w="601" w:type="pct"/>
            <w:vAlign w:val="center"/>
          </w:tcPr>
          <w:p w14:paraId="3F7D7E97">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307C3195">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59448075">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7EF07587">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4FA6E729">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7141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01227910">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14</w:t>
            </w:r>
          </w:p>
        </w:tc>
        <w:tc>
          <w:tcPr>
            <w:tcW w:w="601" w:type="pct"/>
            <w:vAlign w:val="center"/>
          </w:tcPr>
          <w:p w14:paraId="1C0CC28A">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33117C3C">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59FCBBC6">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3FF5E6AD">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035A4A77">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r w14:paraId="7F3F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7" w:type="pct"/>
            <w:vAlign w:val="center"/>
          </w:tcPr>
          <w:p w14:paraId="585A45C1">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15</w:t>
            </w:r>
          </w:p>
        </w:tc>
        <w:tc>
          <w:tcPr>
            <w:tcW w:w="601" w:type="pct"/>
            <w:vAlign w:val="center"/>
          </w:tcPr>
          <w:p w14:paraId="5F59F90E">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601" w:type="pct"/>
            <w:vAlign w:val="center"/>
          </w:tcPr>
          <w:p w14:paraId="1EE890CE">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1EAED15F">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219" w:type="pct"/>
            <w:vAlign w:val="center"/>
          </w:tcPr>
          <w:p w14:paraId="070CA95C">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c>
          <w:tcPr>
            <w:tcW w:w="1064" w:type="pct"/>
            <w:vAlign w:val="center"/>
          </w:tcPr>
          <w:p w14:paraId="6A6D8AEB">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p>
        </w:tc>
      </w:tr>
    </w:tbl>
    <w:p w14:paraId="2F02BFCB">
      <w:pPr>
        <w:pStyle w:val="13"/>
        <w:adjustRightInd w:val="0"/>
        <w:snapToGrid w:val="0"/>
        <w:spacing w:line="520" w:lineRule="exac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注：设备自有/租赁/新购必须表述清楚；后附不少于15辆铣刨料运输车的车辆行驶证和驾驶证等证明资料（</w:t>
      </w:r>
      <w:r>
        <w:rPr>
          <w:rFonts w:hint="default" w:ascii="仿宋" w:hAnsi="仿宋" w:eastAsia="仿宋" w:cs="仿宋"/>
          <w:color w:val="auto"/>
          <w:kern w:val="2"/>
          <w:sz w:val="24"/>
          <w:szCs w:val="24"/>
          <w:highlight w:val="none"/>
          <w:lang w:val="en-US" w:eastAsia="zh-CN" w:bidi="ar-SA"/>
        </w:rPr>
        <w:t>如果不是本单位自有车辆，需提供与车辆所属单位的租赁合同协议书，另需提供车辆所属单位的营业执照、道路运输许可证等证明资料</w:t>
      </w:r>
      <w:r>
        <w:rPr>
          <w:rFonts w:hint="eastAsia" w:ascii="仿宋" w:hAnsi="仿宋" w:eastAsia="仿宋" w:cs="仿宋"/>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val="en-US" w:eastAsia="zh-CN" w:bidi="ar-SA"/>
        </w:rPr>
        <w:t>。</w:t>
      </w:r>
    </w:p>
    <w:p w14:paraId="73CA2B74">
      <w:pPr>
        <w:pStyle w:val="13"/>
        <w:adjustRightInd w:val="0"/>
        <w:snapToGrid w:val="0"/>
        <w:spacing w:line="520" w:lineRule="exact"/>
        <w:jc w:val="center"/>
        <w:rPr>
          <w:rFonts w:hint="eastAsia" w:ascii="仿宋" w:hAnsi="仿宋" w:eastAsia="仿宋" w:cs="仿宋"/>
          <w:b/>
          <w:sz w:val="32"/>
          <w:szCs w:val="32"/>
          <w:lang w:eastAsia="zh-CN"/>
        </w:rPr>
      </w:pPr>
    </w:p>
    <w:p w14:paraId="01DF5A09">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1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19"/>
    </w:p>
    <w:tbl>
      <w:tblPr>
        <w:tblStyle w:val="27"/>
        <w:tblW w:w="5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6065"/>
        <w:gridCol w:w="1727"/>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89"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910"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4"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4</w:t>
            </w:r>
            <w:r>
              <w:rPr>
                <w:rFonts w:hint="eastAsia" w:ascii="仿宋" w:hAnsi="仿宋" w:eastAsia="仿宋" w:cs="仿宋"/>
                <w:sz w:val="24"/>
                <w:szCs w:val="24"/>
              </w:rPr>
              <w:t>年内（</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195" w:type="pct"/>
            <w:vAlign w:val="center"/>
          </w:tcPr>
          <w:p w14:paraId="1CC82E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910"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94"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5" w:type="pct"/>
            <w:vAlign w:val="center"/>
          </w:tcPr>
          <w:p w14:paraId="52837A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910"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4"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5" w:type="pct"/>
            <w:vAlign w:val="center"/>
          </w:tcPr>
          <w:p w14:paraId="67119A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910"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4"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5" w:type="pct"/>
            <w:vAlign w:val="center"/>
          </w:tcPr>
          <w:p w14:paraId="12F97F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910"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4"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5" w:type="pct"/>
            <w:vAlign w:val="center"/>
          </w:tcPr>
          <w:p w14:paraId="0FE7C0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910"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4"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5"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w:t>
            </w:r>
            <w:r>
              <w:rPr>
                <w:rFonts w:hint="eastAsia" w:ascii="仿宋" w:hAnsi="仿宋" w:eastAsia="仿宋" w:cs="仿宋"/>
                <w:sz w:val="24"/>
                <w:szCs w:val="24"/>
                <w:lang w:val="en-US" w:eastAsia="zh-CN"/>
              </w:rPr>
              <w:t>四</w:t>
            </w:r>
            <w:r>
              <w:rPr>
                <w:rFonts w:hint="eastAsia" w:ascii="仿宋" w:hAnsi="仿宋" w:eastAsia="仿宋" w:cs="仿宋"/>
                <w:sz w:val="24"/>
                <w:szCs w:val="24"/>
              </w:rPr>
              <w:t>年（</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910"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20"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7</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20"/>
    </w:p>
    <w:p w14:paraId="02F21F42">
      <w:pPr>
        <w:pStyle w:val="18"/>
        <w:ind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1、铣刨料运输保障方案、应急方案、安全方案等；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21" w:name="_Toc2504"/>
      <w:bookmarkStart w:id="122"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21"/>
      <w:bookmarkEnd w:id="122"/>
    </w:p>
    <w:p w14:paraId="13220C85">
      <w:pPr>
        <w:keepNext w:val="0"/>
        <w:keepLines w:val="0"/>
        <w:pageBreakBefore w:val="0"/>
        <w:widowControl w:val="0"/>
        <w:kinsoku/>
        <w:wordWrap/>
        <w:overflowPunct/>
        <w:topLinePunct w:val="0"/>
        <w:autoSpaceDE/>
        <w:autoSpaceDN/>
        <w:bidi w:val="0"/>
        <w:adjustRightInd/>
        <w:snapToGrid/>
        <w:spacing w:line="456" w:lineRule="auto"/>
        <w:ind w:right="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lang w:val="en-US" w:eastAsia="zh-CN"/>
        </w:rPr>
        <w:t>杭州交通高等级公路养护有限公司</w:t>
      </w:r>
      <w:r>
        <w:rPr>
          <w:rFonts w:hint="eastAsia" w:ascii="宋体" w:hAnsi="宋体" w:cs="宋体"/>
          <w:szCs w:val="21"/>
        </w:rPr>
        <w:t>：</w:t>
      </w:r>
    </w:p>
    <w:p w14:paraId="2FC6C06C">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lang w:val="en-US" w:eastAsia="zh-CN"/>
        </w:rPr>
        <w:t xml:space="preserve"> </w:t>
      </w:r>
      <w:r>
        <w:rPr>
          <w:rFonts w:hint="eastAsia" w:ascii="宋体" w:hAnsi="宋体" w:cs="宋体"/>
          <w:szCs w:val="21"/>
          <w:u w:val="single"/>
          <w:lang w:val="en-US" w:eastAsia="zh-CN"/>
        </w:rPr>
        <w:t>杭千高速公司2026年道路设施提升工程铣刨料回收</w:t>
      </w:r>
      <w:r>
        <w:rPr>
          <w:rFonts w:hint="eastAsia" w:ascii="宋体" w:hAnsi="宋体" w:cs="宋体"/>
          <w:szCs w:val="21"/>
          <w:lang w:val="en-US" w:eastAsia="zh-CN"/>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3B78A021">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29C47A6A">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w:t>
      </w:r>
      <w:r>
        <w:rPr>
          <w:rFonts w:hint="eastAsia" w:ascii="宋体" w:hAnsi="宋体" w:cs="宋体"/>
          <w:szCs w:val="21"/>
          <w:lang w:val="en-US" w:eastAsia="zh-CN"/>
        </w:rPr>
        <w:t>贵</w:t>
      </w:r>
      <w:r>
        <w:rPr>
          <w:rFonts w:hint="eastAsia" w:ascii="宋体" w:hAnsi="宋体" w:cs="宋体"/>
          <w:szCs w:val="21"/>
        </w:rPr>
        <w:t>方提出任何索赔。</w:t>
      </w:r>
    </w:p>
    <w:p w14:paraId="5A97635F">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w:t>
      </w:r>
      <w:r>
        <w:rPr>
          <w:rFonts w:hint="eastAsia" w:ascii="宋体" w:hAnsi="宋体" w:cs="宋体"/>
          <w:szCs w:val="21"/>
          <w:lang w:eastAsia="zh-CN"/>
        </w:rPr>
        <w:t>，</w:t>
      </w:r>
      <w:r>
        <w:rPr>
          <w:rFonts w:hint="eastAsia" w:ascii="宋体" w:hAnsi="宋体" w:cs="宋体"/>
          <w:szCs w:val="21"/>
        </w:rPr>
        <w:t>并随时接受贵单位的检查和验收。如</w:t>
      </w:r>
      <w:r>
        <w:rPr>
          <w:rFonts w:hint="eastAsia" w:ascii="宋体" w:hAnsi="宋体" w:cs="宋体"/>
          <w:szCs w:val="21"/>
          <w:lang w:val="en-US" w:eastAsia="zh-CN"/>
        </w:rPr>
        <w:t>合同履行</w:t>
      </w:r>
      <w:r>
        <w:rPr>
          <w:rFonts w:hint="eastAsia" w:ascii="宋体" w:hAnsi="宋体" w:cs="宋体"/>
          <w:szCs w:val="21"/>
        </w:rPr>
        <w:t>过程中，我方未达到贵方要求和自身承诺，自愿接受贵方调整工程任务，直至解除合同的一切处理，并承担一切责任。</w:t>
      </w:r>
    </w:p>
    <w:p w14:paraId="67B660AB">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054B71FA">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.在</w:t>
      </w:r>
      <w:r>
        <w:rPr>
          <w:rFonts w:hint="eastAsia" w:ascii="宋体" w:hAnsi="宋体" w:cs="宋体"/>
          <w:szCs w:val="21"/>
          <w:u w:val="single"/>
          <w:lang w:val="en-US" w:eastAsia="zh-CN"/>
        </w:rPr>
        <w:t>铣刨料回收</w:t>
      </w:r>
      <w:r>
        <w:rPr>
          <w:rFonts w:hint="eastAsia" w:ascii="宋体" w:hAnsi="宋体" w:cs="宋体"/>
          <w:szCs w:val="21"/>
          <w:u w:val="single"/>
        </w:rPr>
        <w:t>过程</w:t>
      </w:r>
      <w:r>
        <w:rPr>
          <w:rFonts w:hint="eastAsia" w:ascii="宋体" w:hAnsi="宋体" w:cs="宋体"/>
          <w:szCs w:val="21"/>
        </w:rPr>
        <w:t>中坚决做到安全</w:t>
      </w:r>
      <w:r>
        <w:rPr>
          <w:rFonts w:hint="eastAsia" w:ascii="宋体" w:hAnsi="宋体" w:cs="宋体"/>
          <w:szCs w:val="21"/>
          <w:lang w:val="en-US" w:eastAsia="zh-CN"/>
        </w:rPr>
        <w:t>运输</w:t>
      </w:r>
      <w:r>
        <w:rPr>
          <w:rFonts w:hint="eastAsia" w:ascii="宋体" w:hAnsi="宋体" w:cs="宋体"/>
          <w:szCs w:val="21"/>
        </w:rPr>
        <w:t>，如出现安全质量事故，造成的一切损失由我方承担。</w:t>
      </w:r>
    </w:p>
    <w:p w14:paraId="6A327F27">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0B42BC49">
      <w:pPr>
        <w:keepNext w:val="0"/>
        <w:keepLines w:val="0"/>
        <w:pageBreakBefore w:val="0"/>
        <w:widowControl w:val="0"/>
        <w:kinsoku/>
        <w:wordWrap/>
        <w:overflowPunct/>
        <w:topLinePunct w:val="0"/>
        <w:autoSpaceDE/>
        <w:autoSpaceDN/>
        <w:bidi w:val="0"/>
        <w:adjustRightInd/>
        <w:snapToGrid/>
        <w:spacing w:line="456" w:lineRule="auto"/>
        <w:ind w:right="0" w:firstLine="420" w:firstLineChars="200"/>
        <w:jc w:val="left"/>
        <w:textAlignment w:val="auto"/>
        <w:rPr>
          <w:rFonts w:hint="eastAsia" w:ascii="宋体" w:hAnsi="宋体" w:cs="Times New Roman"/>
          <w:sz w:val="28"/>
          <w:szCs w:val="28"/>
          <w:lang w:val="en-US" w:eastAsia="zh-CN"/>
        </w:rPr>
      </w:pPr>
      <w:r>
        <w:rPr>
          <w:rFonts w:hint="eastAsia" w:ascii="宋体" w:hAnsi="宋体" w:cs="宋体"/>
          <w:szCs w:val="21"/>
          <w:lang w:val="en-US" w:eastAsia="zh-CN"/>
        </w:rPr>
        <w:t>7.</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 xml:space="preserve">，保证不再要求贵方承担经济损失补偿。  </w:t>
      </w:r>
      <w:r>
        <w:rPr>
          <w:rFonts w:hint="eastAsia" w:ascii="宋体" w:hAnsi="宋体" w:cs="Times New Roman"/>
          <w:sz w:val="28"/>
          <w:szCs w:val="28"/>
        </w:rPr>
        <w:t xml:space="preserve">     </w:t>
      </w:r>
      <w:r>
        <w:rPr>
          <w:rFonts w:hint="eastAsia" w:ascii="宋体" w:hAnsi="宋体" w:cs="Times New Roman"/>
          <w:sz w:val="28"/>
          <w:szCs w:val="28"/>
          <w:lang w:val="en-US" w:eastAsia="zh-CN"/>
        </w:rPr>
        <w:t xml:space="preserve"> </w:t>
      </w: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4F73E9A0">
      <w:pPr>
        <w:spacing w:line="480" w:lineRule="auto"/>
        <w:ind w:right="482" w:firstLine="3990" w:firstLineChars="1900"/>
        <w:jc w:val="left"/>
        <w:rPr>
          <w:rFonts w:hint="eastAsia"/>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047DBDED">
      <w:pPr>
        <w:bidi w:val="0"/>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56806E95"/>
    <w:multiLevelType w:val="singleLevel"/>
    <w:tmpl w:val="56806E95"/>
    <w:lvl w:ilvl="0" w:tentative="0">
      <w:start w:val="4"/>
      <w:numFmt w:val="chineseCounting"/>
      <w:suff w:val="nothing"/>
      <w:lvlText w:val="%1、"/>
      <w:lvlJc w:val="left"/>
      <w:rPr>
        <w:rFonts w:hint="eastAsia"/>
      </w:rPr>
    </w:lvl>
  </w:abstractNum>
  <w:abstractNum w:abstractNumId="3">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D803E5"/>
    <w:rsid w:val="0213766F"/>
    <w:rsid w:val="0219059E"/>
    <w:rsid w:val="02841A04"/>
    <w:rsid w:val="028440C8"/>
    <w:rsid w:val="028A61CF"/>
    <w:rsid w:val="02B0310F"/>
    <w:rsid w:val="02CD5FA7"/>
    <w:rsid w:val="02D40A58"/>
    <w:rsid w:val="02E3589C"/>
    <w:rsid w:val="02F079B0"/>
    <w:rsid w:val="02FA082F"/>
    <w:rsid w:val="034766AC"/>
    <w:rsid w:val="034B3ED6"/>
    <w:rsid w:val="0363584C"/>
    <w:rsid w:val="037E6D6A"/>
    <w:rsid w:val="038060A2"/>
    <w:rsid w:val="03E414CA"/>
    <w:rsid w:val="04133956"/>
    <w:rsid w:val="04301556"/>
    <w:rsid w:val="043B2EAD"/>
    <w:rsid w:val="045518A1"/>
    <w:rsid w:val="048450BC"/>
    <w:rsid w:val="0495080F"/>
    <w:rsid w:val="04FE3289"/>
    <w:rsid w:val="05087233"/>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A6563"/>
    <w:rsid w:val="06CE625A"/>
    <w:rsid w:val="06D93143"/>
    <w:rsid w:val="06F26AA5"/>
    <w:rsid w:val="071C5217"/>
    <w:rsid w:val="0763639E"/>
    <w:rsid w:val="076C0488"/>
    <w:rsid w:val="07E775D3"/>
    <w:rsid w:val="08000695"/>
    <w:rsid w:val="0822685D"/>
    <w:rsid w:val="082F0F7A"/>
    <w:rsid w:val="087150EF"/>
    <w:rsid w:val="08A63ECA"/>
    <w:rsid w:val="08F23F5E"/>
    <w:rsid w:val="091C3407"/>
    <w:rsid w:val="092E2FE0"/>
    <w:rsid w:val="09630EDC"/>
    <w:rsid w:val="09D771D4"/>
    <w:rsid w:val="0A4E393A"/>
    <w:rsid w:val="0A717628"/>
    <w:rsid w:val="0ACB4F8A"/>
    <w:rsid w:val="0B4C599F"/>
    <w:rsid w:val="0B552D84"/>
    <w:rsid w:val="0B5C3E34"/>
    <w:rsid w:val="0B70168E"/>
    <w:rsid w:val="0BF113B5"/>
    <w:rsid w:val="0BF15626"/>
    <w:rsid w:val="0C2B4320"/>
    <w:rsid w:val="0C3D5948"/>
    <w:rsid w:val="0C4F74F5"/>
    <w:rsid w:val="0CAD6419"/>
    <w:rsid w:val="0CCE693A"/>
    <w:rsid w:val="0CF67F73"/>
    <w:rsid w:val="0D3A5D59"/>
    <w:rsid w:val="0D605A69"/>
    <w:rsid w:val="0D6071BF"/>
    <w:rsid w:val="0D631E83"/>
    <w:rsid w:val="0D933375"/>
    <w:rsid w:val="0DD01FDB"/>
    <w:rsid w:val="0E06452B"/>
    <w:rsid w:val="0E39220B"/>
    <w:rsid w:val="0E43308A"/>
    <w:rsid w:val="0E4532A6"/>
    <w:rsid w:val="0E5E7EC3"/>
    <w:rsid w:val="0E6D0107"/>
    <w:rsid w:val="0E7616B1"/>
    <w:rsid w:val="0EF6634E"/>
    <w:rsid w:val="0F007BF2"/>
    <w:rsid w:val="0F5D461F"/>
    <w:rsid w:val="0F7D25CB"/>
    <w:rsid w:val="0F953D21"/>
    <w:rsid w:val="0FD83CA6"/>
    <w:rsid w:val="0FE7353C"/>
    <w:rsid w:val="1020781F"/>
    <w:rsid w:val="105263BA"/>
    <w:rsid w:val="106F63B8"/>
    <w:rsid w:val="10AA15E5"/>
    <w:rsid w:val="10C90E80"/>
    <w:rsid w:val="10CE0646"/>
    <w:rsid w:val="10E30B54"/>
    <w:rsid w:val="10E548CC"/>
    <w:rsid w:val="10FB466E"/>
    <w:rsid w:val="114F4123"/>
    <w:rsid w:val="115D6771"/>
    <w:rsid w:val="11604301"/>
    <w:rsid w:val="1182211B"/>
    <w:rsid w:val="11A375C6"/>
    <w:rsid w:val="11D16BFE"/>
    <w:rsid w:val="11D47AD6"/>
    <w:rsid w:val="11F83303"/>
    <w:rsid w:val="12093A6F"/>
    <w:rsid w:val="12357BE9"/>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7541B9"/>
    <w:rsid w:val="148D1503"/>
    <w:rsid w:val="14AE3227"/>
    <w:rsid w:val="14DC7D94"/>
    <w:rsid w:val="15325C06"/>
    <w:rsid w:val="15502785"/>
    <w:rsid w:val="157D3325"/>
    <w:rsid w:val="157D4D8A"/>
    <w:rsid w:val="157E6EF5"/>
    <w:rsid w:val="159863B1"/>
    <w:rsid w:val="15A91610"/>
    <w:rsid w:val="15C947BC"/>
    <w:rsid w:val="15DD2016"/>
    <w:rsid w:val="163C59BC"/>
    <w:rsid w:val="164019E1"/>
    <w:rsid w:val="165757BC"/>
    <w:rsid w:val="16624E17"/>
    <w:rsid w:val="16A87B8F"/>
    <w:rsid w:val="16FF6F7D"/>
    <w:rsid w:val="170610F8"/>
    <w:rsid w:val="17334649"/>
    <w:rsid w:val="17742506"/>
    <w:rsid w:val="17780248"/>
    <w:rsid w:val="177E5132"/>
    <w:rsid w:val="17993734"/>
    <w:rsid w:val="179C49C1"/>
    <w:rsid w:val="179E3A27"/>
    <w:rsid w:val="17DD62FD"/>
    <w:rsid w:val="182F467F"/>
    <w:rsid w:val="1880043E"/>
    <w:rsid w:val="18AA6104"/>
    <w:rsid w:val="18F918E8"/>
    <w:rsid w:val="18FC6C57"/>
    <w:rsid w:val="19061883"/>
    <w:rsid w:val="195C49A7"/>
    <w:rsid w:val="196C7501"/>
    <w:rsid w:val="19A65265"/>
    <w:rsid w:val="19A846E9"/>
    <w:rsid w:val="19CF7EC7"/>
    <w:rsid w:val="19D62A32"/>
    <w:rsid w:val="19ED7866"/>
    <w:rsid w:val="19F1575D"/>
    <w:rsid w:val="1A246465"/>
    <w:rsid w:val="1A5A3C35"/>
    <w:rsid w:val="1A9A61FE"/>
    <w:rsid w:val="1AE600F4"/>
    <w:rsid w:val="1B1F4E7E"/>
    <w:rsid w:val="1B675CAF"/>
    <w:rsid w:val="1B837BD3"/>
    <w:rsid w:val="1B8D618A"/>
    <w:rsid w:val="1B8F1BE5"/>
    <w:rsid w:val="1B9C027D"/>
    <w:rsid w:val="1B9C202B"/>
    <w:rsid w:val="1B9E632D"/>
    <w:rsid w:val="1BB90A49"/>
    <w:rsid w:val="1BD9010B"/>
    <w:rsid w:val="1BF40766"/>
    <w:rsid w:val="1C057BD0"/>
    <w:rsid w:val="1C125497"/>
    <w:rsid w:val="1C3A340C"/>
    <w:rsid w:val="1C3D2AB5"/>
    <w:rsid w:val="1C4032FE"/>
    <w:rsid w:val="1C47325A"/>
    <w:rsid w:val="1C5D0BEE"/>
    <w:rsid w:val="1C737230"/>
    <w:rsid w:val="1C7E642D"/>
    <w:rsid w:val="1C8256C5"/>
    <w:rsid w:val="1C8E5E18"/>
    <w:rsid w:val="1CD61119"/>
    <w:rsid w:val="1CE57117"/>
    <w:rsid w:val="1D0B6F5A"/>
    <w:rsid w:val="1DA5166B"/>
    <w:rsid w:val="1DB35768"/>
    <w:rsid w:val="1DBC69B5"/>
    <w:rsid w:val="1E4C44B4"/>
    <w:rsid w:val="1E785109"/>
    <w:rsid w:val="1E831280"/>
    <w:rsid w:val="1EAD0342"/>
    <w:rsid w:val="1EC24336"/>
    <w:rsid w:val="1EFF02D1"/>
    <w:rsid w:val="1F0B0657"/>
    <w:rsid w:val="1F1B7DBE"/>
    <w:rsid w:val="1F2F1585"/>
    <w:rsid w:val="1F433DA4"/>
    <w:rsid w:val="1F6E217A"/>
    <w:rsid w:val="1F781625"/>
    <w:rsid w:val="1F7C63FB"/>
    <w:rsid w:val="1F953961"/>
    <w:rsid w:val="209459C7"/>
    <w:rsid w:val="20A43E5C"/>
    <w:rsid w:val="20A51982"/>
    <w:rsid w:val="20A53730"/>
    <w:rsid w:val="20BA2452"/>
    <w:rsid w:val="210421A0"/>
    <w:rsid w:val="210F229C"/>
    <w:rsid w:val="212215B2"/>
    <w:rsid w:val="212A1E87"/>
    <w:rsid w:val="214A0C0A"/>
    <w:rsid w:val="219D6B23"/>
    <w:rsid w:val="21AB121A"/>
    <w:rsid w:val="21AC2B1A"/>
    <w:rsid w:val="21B26104"/>
    <w:rsid w:val="21C4457A"/>
    <w:rsid w:val="21D97E89"/>
    <w:rsid w:val="21FF256B"/>
    <w:rsid w:val="220B3A67"/>
    <w:rsid w:val="22204870"/>
    <w:rsid w:val="22252D7A"/>
    <w:rsid w:val="225D0766"/>
    <w:rsid w:val="225E4B43"/>
    <w:rsid w:val="22916C57"/>
    <w:rsid w:val="22AC349C"/>
    <w:rsid w:val="22DF73CD"/>
    <w:rsid w:val="2320131E"/>
    <w:rsid w:val="23255123"/>
    <w:rsid w:val="233D0598"/>
    <w:rsid w:val="236643F7"/>
    <w:rsid w:val="239161EE"/>
    <w:rsid w:val="23B048C6"/>
    <w:rsid w:val="23C56DD6"/>
    <w:rsid w:val="23CD36CA"/>
    <w:rsid w:val="23D700A4"/>
    <w:rsid w:val="23E10F23"/>
    <w:rsid w:val="240A7A72"/>
    <w:rsid w:val="242D4168"/>
    <w:rsid w:val="242D5F16"/>
    <w:rsid w:val="24407848"/>
    <w:rsid w:val="24513BFA"/>
    <w:rsid w:val="24567947"/>
    <w:rsid w:val="24861ACA"/>
    <w:rsid w:val="249F5A09"/>
    <w:rsid w:val="24CA07A9"/>
    <w:rsid w:val="24FB11EC"/>
    <w:rsid w:val="250A6257"/>
    <w:rsid w:val="254F2E38"/>
    <w:rsid w:val="2569125E"/>
    <w:rsid w:val="256B13EC"/>
    <w:rsid w:val="257813EE"/>
    <w:rsid w:val="257B7155"/>
    <w:rsid w:val="25AD445A"/>
    <w:rsid w:val="25AF4370"/>
    <w:rsid w:val="25BA4DE0"/>
    <w:rsid w:val="25C84D63"/>
    <w:rsid w:val="25DD396C"/>
    <w:rsid w:val="25E0208E"/>
    <w:rsid w:val="260F0B9D"/>
    <w:rsid w:val="262019E5"/>
    <w:rsid w:val="263353D4"/>
    <w:rsid w:val="268D331A"/>
    <w:rsid w:val="26B92096"/>
    <w:rsid w:val="26F64CE5"/>
    <w:rsid w:val="27482B67"/>
    <w:rsid w:val="27530F7A"/>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C87F39"/>
    <w:rsid w:val="2AD05921"/>
    <w:rsid w:val="2B011EAB"/>
    <w:rsid w:val="2B113A59"/>
    <w:rsid w:val="2B1C685B"/>
    <w:rsid w:val="2B481888"/>
    <w:rsid w:val="2B584A36"/>
    <w:rsid w:val="2B660A59"/>
    <w:rsid w:val="2B9176D3"/>
    <w:rsid w:val="2BBD4893"/>
    <w:rsid w:val="2BC36CBB"/>
    <w:rsid w:val="2C387B4E"/>
    <w:rsid w:val="2C532BDA"/>
    <w:rsid w:val="2C6E135B"/>
    <w:rsid w:val="2C7812AD"/>
    <w:rsid w:val="2C8C7F23"/>
    <w:rsid w:val="2C9B5967"/>
    <w:rsid w:val="2CA43435"/>
    <w:rsid w:val="2CAD255A"/>
    <w:rsid w:val="2CDB58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301B0EBD"/>
    <w:rsid w:val="304940D8"/>
    <w:rsid w:val="305B02AF"/>
    <w:rsid w:val="30824834"/>
    <w:rsid w:val="30872E52"/>
    <w:rsid w:val="30CA2D69"/>
    <w:rsid w:val="30F5614B"/>
    <w:rsid w:val="30FF12DC"/>
    <w:rsid w:val="311F752F"/>
    <w:rsid w:val="31351A6B"/>
    <w:rsid w:val="32113E29"/>
    <w:rsid w:val="32241CA7"/>
    <w:rsid w:val="327207A3"/>
    <w:rsid w:val="32AC47E4"/>
    <w:rsid w:val="32C57C62"/>
    <w:rsid w:val="32CC0530"/>
    <w:rsid w:val="32E15AC4"/>
    <w:rsid w:val="3321214E"/>
    <w:rsid w:val="334C3C69"/>
    <w:rsid w:val="33582884"/>
    <w:rsid w:val="335A29C3"/>
    <w:rsid w:val="341113B0"/>
    <w:rsid w:val="34E97C37"/>
    <w:rsid w:val="34F77D06"/>
    <w:rsid w:val="352E4E1D"/>
    <w:rsid w:val="35632A14"/>
    <w:rsid w:val="359027A9"/>
    <w:rsid w:val="359502CA"/>
    <w:rsid w:val="35C97A69"/>
    <w:rsid w:val="3616569B"/>
    <w:rsid w:val="362B2720"/>
    <w:rsid w:val="363650FE"/>
    <w:rsid w:val="363825C4"/>
    <w:rsid w:val="36512055"/>
    <w:rsid w:val="367077C6"/>
    <w:rsid w:val="3687595A"/>
    <w:rsid w:val="36897924"/>
    <w:rsid w:val="36B424C7"/>
    <w:rsid w:val="36BE70F6"/>
    <w:rsid w:val="36CA3A99"/>
    <w:rsid w:val="3716217A"/>
    <w:rsid w:val="372D5AED"/>
    <w:rsid w:val="37645C9B"/>
    <w:rsid w:val="37BB2286"/>
    <w:rsid w:val="37C4673A"/>
    <w:rsid w:val="3857135C"/>
    <w:rsid w:val="387B329C"/>
    <w:rsid w:val="38AD4B48"/>
    <w:rsid w:val="38B478C6"/>
    <w:rsid w:val="38CA7A97"/>
    <w:rsid w:val="38DC1951"/>
    <w:rsid w:val="39162FC5"/>
    <w:rsid w:val="3951009C"/>
    <w:rsid w:val="397F0B6A"/>
    <w:rsid w:val="397F748B"/>
    <w:rsid w:val="398268AC"/>
    <w:rsid w:val="3986014B"/>
    <w:rsid w:val="399F745E"/>
    <w:rsid w:val="39C6647F"/>
    <w:rsid w:val="3A641B67"/>
    <w:rsid w:val="3A75699A"/>
    <w:rsid w:val="3AE0014B"/>
    <w:rsid w:val="3B1D3BC0"/>
    <w:rsid w:val="3B8C3C43"/>
    <w:rsid w:val="3BFF5F92"/>
    <w:rsid w:val="3C097EF0"/>
    <w:rsid w:val="3C2E55CC"/>
    <w:rsid w:val="3C5732A6"/>
    <w:rsid w:val="3CA371CC"/>
    <w:rsid w:val="3CCB1561"/>
    <w:rsid w:val="3CCD4B1C"/>
    <w:rsid w:val="3CEA7404"/>
    <w:rsid w:val="3D1020D1"/>
    <w:rsid w:val="3D1912D6"/>
    <w:rsid w:val="3DE22613"/>
    <w:rsid w:val="3DF67B6E"/>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F14E1A"/>
    <w:rsid w:val="410E2311"/>
    <w:rsid w:val="4140317B"/>
    <w:rsid w:val="415428DD"/>
    <w:rsid w:val="415E4D6C"/>
    <w:rsid w:val="4165248F"/>
    <w:rsid w:val="41940CE7"/>
    <w:rsid w:val="41B810BD"/>
    <w:rsid w:val="41F06AA9"/>
    <w:rsid w:val="41FA39B9"/>
    <w:rsid w:val="4260270F"/>
    <w:rsid w:val="42870EC3"/>
    <w:rsid w:val="42A81132"/>
    <w:rsid w:val="42C46437"/>
    <w:rsid w:val="42E83C24"/>
    <w:rsid w:val="433C7ACC"/>
    <w:rsid w:val="436B75A2"/>
    <w:rsid w:val="43C9697B"/>
    <w:rsid w:val="44091E87"/>
    <w:rsid w:val="44446C38"/>
    <w:rsid w:val="444E7AB7"/>
    <w:rsid w:val="444F55DD"/>
    <w:rsid w:val="445B0426"/>
    <w:rsid w:val="452151CC"/>
    <w:rsid w:val="45E16C19"/>
    <w:rsid w:val="45EA09CA"/>
    <w:rsid w:val="45F36B68"/>
    <w:rsid w:val="461B60BF"/>
    <w:rsid w:val="464C1D63"/>
    <w:rsid w:val="464E0242"/>
    <w:rsid w:val="46523C6D"/>
    <w:rsid w:val="46F51803"/>
    <w:rsid w:val="47126D75"/>
    <w:rsid w:val="47523B63"/>
    <w:rsid w:val="475E6263"/>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81092F"/>
    <w:rsid w:val="49846A24"/>
    <w:rsid w:val="49AF6A7A"/>
    <w:rsid w:val="4A393D12"/>
    <w:rsid w:val="4A65539B"/>
    <w:rsid w:val="4A6F4C2B"/>
    <w:rsid w:val="4AC2119E"/>
    <w:rsid w:val="4AE66C9B"/>
    <w:rsid w:val="4AF64A04"/>
    <w:rsid w:val="4B0C61BC"/>
    <w:rsid w:val="4B203242"/>
    <w:rsid w:val="4B4F7128"/>
    <w:rsid w:val="4B553E21"/>
    <w:rsid w:val="4B58746D"/>
    <w:rsid w:val="4B5E2D75"/>
    <w:rsid w:val="4B610C47"/>
    <w:rsid w:val="4BF90C50"/>
    <w:rsid w:val="4C417F01"/>
    <w:rsid w:val="4C51283A"/>
    <w:rsid w:val="4C9149E5"/>
    <w:rsid w:val="4CCC4796"/>
    <w:rsid w:val="4D01672A"/>
    <w:rsid w:val="4D2E2D63"/>
    <w:rsid w:val="4D2E492A"/>
    <w:rsid w:val="4D5123C6"/>
    <w:rsid w:val="4D865536"/>
    <w:rsid w:val="4D8A4B8F"/>
    <w:rsid w:val="4DAE7232"/>
    <w:rsid w:val="4DBC0187"/>
    <w:rsid w:val="4DCC07AF"/>
    <w:rsid w:val="4E2F4EE8"/>
    <w:rsid w:val="4E4C62B4"/>
    <w:rsid w:val="4E524893"/>
    <w:rsid w:val="4E57035F"/>
    <w:rsid w:val="4E685C19"/>
    <w:rsid w:val="4E724C4D"/>
    <w:rsid w:val="4E95414F"/>
    <w:rsid w:val="4F021BCA"/>
    <w:rsid w:val="4F06552A"/>
    <w:rsid w:val="4F7E28D1"/>
    <w:rsid w:val="4F981E76"/>
    <w:rsid w:val="4FBC446F"/>
    <w:rsid w:val="4FC70A05"/>
    <w:rsid w:val="4FD25A40"/>
    <w:rsid w:val="50046A9D"/>
    <w:rsid w:val="507606D3"/>
    <w:rsid w:val="50B67110"/>
    <w:rsid w:val="50F47C38"/>
    <w:rsid w:val="510C6D30"/>
    <w:rsid w:val="51121E6C"/>
    <w:rsid w:val="511B5953"/>
    <w:rsid w:val="518A318B"/>
    <w:rsid w:val="51AA5C58"/>
    <w:rsid w:val="51D94FBE"/>
    <w:rsid w:val="522D5852"/>
    <w:rsid w:val="523A5B1F"/>
    <w:rsid w:val="52BF46A2"/>
    <w:rsid w:val="52C52CBD"/>
    <w:rsid w:val="5313329D"/>
    <w:rsid w:val="534F73A8"/>
    <w:rsid w:val="53630C83"/>
    <w:rsid w:val="53664E8C"/>
    <w:rsid w:val="537A21C5"/>
    <w:rsid w:val="539D4A9A"/>
    <w:rsid w:val="53CF751C"/>
    <w:rsid w:val="53D224B3"/>
    <w:rsid w:val="543A364E"/>
    <w:rsid w:val="54542D7D"/>
    <w:rsid w:val="54696247"/>
    <w:rsid w:val="54B90F7D"/>
    <w:rsid w:val="54F20CFF"/>
    <w:rsid w:val="55180399"/>
    <w:rsid w:val="55337EDE"/>
    <w:rsid w:val="55506782"/>
    <w:rsid w:val="55743B88"/>
    <w:rsid w:val="55765A50"/>
    <w:rsid w:val="558C0A45"/>
    <w:rsid w:val="55EB26A0"/>
    <w:rsid w:val="563E18F0"/>
    <w:rsid w:val="567A5AD2"/>
    <w:rsid w:val="568A2C39"/>
    <w:rsid w:val="56B04601"/>
    <w:rsid w:val="56D51E02"/>
    <w:rsid w:val="56EB5639"/>
    <w:rsid w:val="57080F27"/>
    <w:rsid w:val="570E0DDA"/>
    <w:rsid w:val="578278A2"/>
    <w:rsid w:val="578B4F7B"/>
    <w:rsid w:val="579F3135"/>
    <w:rsid w:val="57E9601D"/>
    <w:rsid w:val="57FB47AE"/>
    <w:rsid w:val="582819EA"/>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BF73B3"/>
    <w:rsid w:val="5BE74DFA"/>
    <w:rsid w:val="5BF3356C"/>
    <w:rsid w:val="5BFE5E0F"/>
    <w:rsid w:val="5C021BCB"/>
    <w:rsid w:val="5C225659"/>
    <w:rsid w:val="5C2D3FFE"/>
    <w:rsid w:val="5C384E7D"/>
    <w:rsid w:val="5C3929A3"/>
    <w:rsid w:val="5C645C72"/>
    <w:rsid w:val="5C741C2D"/>
    <w:rsid w:val="5C7F3353"/>
    <w:rsid w:val="5C900FEF"/>
    <w:rsid w:val="5C950521"/>
    <w:rsid w:val="5CAE513F"/>
    <w:rsid w:val="5CB43E13"/>
    <w:rsid w:val="5CB67C1D"/>
    <w:rsid w:val="5CF214D0"/>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046F88"/>
    <w:rsid w:val="61913703"/>
    <w:rsid w:val="61C13B66"/>
    <w:rsid w:val="61D62D64"/>
    <w:rsid w:val="62287742"/>
    <w:rsid w:val="625563BE"/>
    <w:rsid w:val="62572464"/>
    <w:rsid w:val="626E0E72"/>
    <w:rsid w:val="62791D4B"/>
    <w:rsid w:val="629A14FB"/>
    <w:rsid w:val="62D376AD"/>
    <w:rsid w:val="62DA1FDB"/>
    <w:rsid w:val="62DD052C"/>
    <w:rsid w:val="62F87114"/>
    <w:rsid w:val="630E2DDB"/>
    <w:rsid w:val="63100901"/>
    <w:rsid w:val="633345F0"/>
    <w:rsid w:val="637846F9"/>
    <w:rsid w:val="639808F7"/>
    <w:rsid w:val="63DC6922"/>
    <w:rsid w:val="63FC70D8"/>
    <w:rsid w:val="642E117D"/>
    <w:rsid w:val="643F6C42"/>
    <w:rsid w:val="644979C0"/>
    <w:rsid w:val="647A1DAB"/>
    <w:rsid w:val="64882719"/>
    <w:rsid w:val="64966BE4"/>
    <w:rsid w:val="64FF0C2E"/>
    <w:rsid w:val="651D5558"/>
    <w:rsid w:val="651F40E0"/>
    <w:rsid w:val="65310C09"/>
    <w:rsid w:val="65DB6C69"/>
    <w:rsid w:val="65F242EE"/>
    <w:rsid w:val="65FA01AA"/>
    <w:rsid w:val="65FE5915"/>
    <w:rsid w:val="66025281"/>
    <w:rsid w:val="662C3370"/>
    <w:rsid w:val="663C37BC"/>
    <w:rsid w:val="664268FC"/>
    <w:rsid w:val="664D72A0"/>
    <w:rsid w:val="667C1E0A"/>
    <w:rsid w:val="670D6F06"/>
    <w:rsid w:val="673C737F"/>
    <w:rsid w:val="67452B44"/>
    <w:rsid w:val="6753700F"/>
    <w:rsid w:val="675B76DD"/>
    <w:rsid w:val="67BA708E"/>
    <w:rsid w:val="67C50DDA"/>
    <w:rsid w:val="67CC59E3"/>
    <w:rsid w:val="67E97973"/>
    <w:rsid w:val="67F72090"/>
    <w:rsid w:val="683426D7"/>
    <w:rsid w:val="6841330B"/>
    <w:rsid w:val="68662D72"/>
    <w:rsid w:val="687E455F"/>
    <w:rsid w:val="68B70790"/>
    <w:rsid w:val="69054339"/>
    <w:rsid w:val="690600B1"/>
    <w:rsid w:val="690F6F65"/>
    <w:rsid w:val="69392657"/>
    <w:rsid w:val="693A17B3"/>
    <w:rsid w:val="696A196E"/>
    <w:rsid w:val="69A61091"/>
    <w:rsid w:val="69FB3DEF"/>
    <w:rsid w:val="6A042842"/>
    <w:rsid w:val="6A0D1561"/>
    <w:rsid w:val="6A16656B"/>
    <w:rsid w:val="6A2F5D74"/>
    <w:rsid w:val="6A7F4463"/>
    <w:rsid w:val="6A8D0A8A"/>
    <w:rsid w:val="6AE663EC"/>
    <w:rsid w:val="6AF64881"/>
    <w:rsid w:val="6AFC4B32"/>
    <w:rsid w:val="6B4A0729"/>
    <w:rsid w:val="6BA20565"/>
    <w:rsid w:val="6BA37E39"/>
    <w:rsid w:val="6BB42046"/>
    <w:rsid w:val="6BB81B36"/>
    <w:rsid w:val="6BC56001"/>
    <w:rsid w:val="6BD821D8"/>
    <w:rsid w:val="6BF1329A"/>
    <w:rsid w:val="6BF42D27"/>
    <w:rsid w:val="6C3F4006"/>
    <w:rsid w:val="6C4532D6"/>
    <w:rsid w:val="6CF92F35"/>
    <w:rsid w:val="6D2B24B2"/>
    <w:rsid w:val="6D327C14"/>
    <w:rsid w:val="6D8D2B4F"/>
    <w:rsid w:val="6D8F2D6B"/>
    <w:rsid w:val="6DAD32A8"/>
    <w:rsid w:val="6DE262E2"/>
    <w:rsid w:val="6E3E7C58"/>
    <w:rsid w:val="6F173018"/>
    <w:rsid w:val="6F2614AD"/>
    <w:rsid w:val="6FB53090"/>
    <w:rsid w:val="6FBA0900"/>
    <w:rsid w:val="6FBD3431"/>
    <w:rsid w:val="6FC7059A"/>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2FE3EAD"/>
    <w:rsid w:val="730E028E"/>
    <w:rsid w:val="731D4975"/>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6E00193"/>
    <w:rsid w:val="77016066"/>
    <w:rsid w:val="770E0B98"/>
    <w:rsid w:val="775D17E4"/>
    <w:rsid w:val="77684CCF"/>
    <w:rsid w:val="777A2396"/>
    <w:rsid w:val="77A25449"/>
    <w:rsid w:val="77B917C8"/>
    <w:rsid w:val="77BA6C36"/>
    <w:rsid w:val="78510BB4"/>
    <w:rsid w:val="78537739"/>
    <w:rsid w:val="78782D79"/>
    <w:rsid w:val="7899174D"/>
    <w:rsid w:val="78D8566B"/>
    <w:rsid w:val="7925068A"/>
    <w:rsid w:val="79567552"/>
    <w:rsid w:val="795F2C34"/>
    <w:rsid w:val="7A0A6AEC"/>
    <w:rsid w:val="7A254A32"/>
    <w:rsid w:val="7A383756"/>
    <w:rsid w:val="7AD27EA1"/>
    <w:rsid w:val="7AD538AA"/>
    <w:rsid w:val="7AF878F3"/>
    <w:rsid w:val="7B2B22C3"/>
    <w:rsid w:val="7B362A78"/>
    <w:rsid w:val="7B694B9B"/>
    <w:rsid w:val="7B730265"/>
    <w:rsid w:val="7B952C8D"/>
    <w:rsid w:val="7BCD53A7"/>
    <w:rsid w:val="7BDF75A9"/>
    <w:rsid w:val="7BE6624C"/>
    <w:rsid w:val="7C18163E"/>
    <w:rsid w:val="7C417926"/>
    <w:rsid w:val="7C662EE9"/>
    <w:rsid w:val="7CCC3693"/>
    <w:rsid w:val="7CEA3B1A"/>
    <w:rsid w:val="7D0D4A1B"/>
    <w:rsid w:val="7D3E5C13"/>
    <w:rsid w:val="7D4E607C"/>
    <w:rsid w:val="7D7D6271"/>
    <w:rsid w:val="7DB06B11"/>
    <w:rsid w:val="7DD10836"/>
    <w:rsid w:val="7E091498"/>
    <w:rsid w:val="7E097FCF"/>
    <w:rsid w:val="7E451025"/>
    <w:rsid w:val="7E6536A7"/>
    <w:rsid w:val="7EC80356"/>
    <w:rsid w:val="7ECD36F3"/>
    <w:rsid w:val="7ED76320"/>
    <w:rsid w:val="7F2B4B81"/>
    <w:rsid w:val="7F315A30"/>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31</Pages>
  <Words>3761</Words>
  <Characters>4089</Characters>
  <Lines>12</Lines>
  <Paragraphs>3</Paragraphs>
  <TotalTime>10</TotalTime>
  <ScaleCrop>false</ScaleCrop>
  <LinksUpToDate>false</LinksUpToDate>
  <CharactersWithSpaces>4327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2026-06-10T02:41:32Z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